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Gerstenhartbrand</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15.08.2025 13:19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Gerstenhartbrand</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Ustilago
hordei</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10.04.2025</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Der
Gerstenhartbrand
ist
eine
Pilzerkrankung
die
ausschließlich
Gerstenpflanzen
befällt.
Die
Sporenlager
an
der
Ähre
sind
von
einem
matten,
silbergrauen
Häutchen
überzogen
und
erhärten
bis
zur
Ernte.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Schadsymptome</w:t>
      </w:r>
    </w:p>
    <w:p>
      <w:pPr>
        <w:widowControl w:val="on"/>
        <w:pBdr/>
        <w:spacing w:before="240" w:after="240" w:line="240" w:lineRule="auto"/>
        <w:ind w:left="0" w:right="0"/>
        <w:jc w:val="left"/>
      </w:pPr>
      <w:r>
        <w:rPr>
          <w:rFonts w:ascii="Tahoma" w:hAnsi="Tahoma" w:eastAsia="Tahoma" w:cs="Tahoma"/>
          <w:color w:val="000000"/>
          <w:sz w:val="24"/>
          <w:szCs w:val="24"/>
        </w:rPr>
        <w:t xml:space="preserve">
Die
Sporenlager
an
der
Ähre
sind
lange
von
einem
matten,
silbergrauen
Häutchen
überzogen.
Die
Sporenlager
erhärten
bis
zur
Ernte
und
werden
nicht
oder
nur
unvollständig
ausgestäubt.
Die
Grannen
sind
häufig
deformiert,
bleiben
aber
oftmals
erhalten.</w:t>
      </w:r>
    </w:p>
    <w:p>
      <w:pPr>
        <w:widowControl w:val="on"/>
        <w:pBdr/>
        <w:spacing w:before="240" w:after="240" w:line="240" w:lineRule="auto"/>
        <w:ind w:left="0" w:right="0"/>
        <w:jc w:val="left"/>
      </w:pPr>
      <w:r>
        <w:rPr>
          <w:rFonts w:ascii="Tahoma" w:hAnsi="Tahoma" w:eastAsia="Tahoma" w:cs="Tahoma"/>
          <w:color w:val="000000"/>
          <w:sz w:val="24"/>
          <w:szCs w:val="24"/>
        </w:rPr>
        <w:t xml:space="preserve">
Die
Symptome
des
Gerstenhartbrandes
ähneln
jenen
des
Gerstenflugbrandes.</w:t>
      </w:r>
    </w:p>
    <w:p>
      <w:r>
        <w:drawing>
          <wp:inline distT="0" distB="0" distL="0" distR="0">
            <wp:extent cx="5400000" cy="7185600"/>
            <wp:docPr id="94857891" name="name8767689f17b25a80e" descr="Gerstenhartbrand_1_we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stenhartbrand_1_web-01.jpg"/>
                    <pic:cNvPicPr/>
                  </pic:nvPicPr>
                  <pic:blipFill>
                    <a:blip r:embed="rId7671689f17b25a80b" cstate="print"/>
                    <a:stretch>
                      <a:fillRect/>
                    </a:stretch>
                  </pic:blipFill>
                  <pic:spPr>
                    <a:xfrm>
                      <a:off x="0" y="0"/>
                      <a:ext cx="5400000" cy="71856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Eine
mit
Gerstenhartbrand
befallene
Ähre</w:t>
      </w:r>
      <w:fldSimple w:instr=" SEQ Figure \* ARABIC ">
        <w:r>
          <w:rPr>
            <w:noProof/>
          </w:rPr>
          <w:t/>
        </w:r>
      </w:fldSimple>
      <w:bookmarkStart w:id="1226071" w:name=""/>
      <w:bookmarkEnd w:id="1226071"/>
    </w:p>
    <w:p>
      <w:r>
        <w:drawing>
          <wp:inline distT="0" distB="0" distL="0" distR="0">
            <wp:extent cx="5400000" cy="7185600"/>
            <wp:docPr id="83802877" name="name3305689f17b26e87d" descr="Gerstenhartbrand_2_we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stenhartbrand_2_web-01.jpg"/>
                    <pic:cNvPicPr/>
                  </pic:nvPicPr>
                  <pic:blipFill>
                    <a:blip r:embed="rId8836689f17b26e87a" cstate="print"/>
                    <a:stretch>
                      <a:fillRect/>
                    </a:stretch>
                  </pic:blipFill>
                  <pic:spPr>
                    <a:xfrm>
                      <a:off x="0" y="0"/>
                      <a:ext cx="5400000" cy="71856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Eine
mit
Gerstenhartbrand
befallene
Ähre
in
einem
abgetrockneten
Gerstenbestand</w:t>
      </w:r>
      <w:fldSimple w:instr=" SEQ Figure \* ARABIC ">
        <w:r>
          <w:rPr>
            <w:noProof/>
          </w:rPr>
          <w:t/>
        </w:r>
      </w:fldSimple>
      <w:bookmarkStart w:id="2920063" w:name=""/>
      <w:bookmarkEnd w:id="2920063"/>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Wirtspflanzen</w:t>
      </w:r>
    </w:p>
    <w:p>
      <w:pPr>
        <w:widowControl w:val="on"/>
        <w:pBdr/>
        <w:spacing w:before="240" w:after="240" w:line="240" w:lineRule="auto"/>
        <w:ind w:left="0" w:right="0"/>
        <w:jc w:val="left"/>
      </w:pPr>
      <w:r>
        <w:rPr>
          <w:rFonts w:ascii="Tahoma" w:hAnsi="Tahoma" w:eastAsia="Tahoma" w:cs="Tahoma"/>
          <w:color w:val="000000"/>
          <w:sz w:val="24"/>
          <w:szCs w:val="24"/>
        </w:rPr>
        <w:t xml:space="preserve">
Der
Erreger
des
Gerstenhartbrands
befällt
nur
Gerstenpflanzen.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Verbreitung</w:t>
      </w:r>
    </w:p>
    <w:p>
      <w:pPr>
        <w:widowControl w:val="on"/>
        <w:pBdr/>
        <w:spacing w:before="240" w:after="240" w:line="240" w:lineRule="auto"/>
        <w:ind w:left="0" w:right="0"/>
        <w:jc w:val="left"/>
      </w:pPr>
      <w:r>
        <w:rPr>
          <w:rFonts w:ascii="Tahoma" w:hAnsi="Tahoma" w:eastAsia="Tahoma" w:cs="Tahoma"/>
          <w:color w:val="000000"/>
          <w:sz w:val="24"/>
          <w:szCs w:val="24"/>
        </w:rPr>
        <w:t xml:space="preserve">
Gerstenhartbrand
kann
in
allen
Anbaugebieten
auftreten.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Ausbreitung
und
Übertragung</w:t>
      </w:r>
    </w:p>
    <w:p>
      <w:pPr>
        <w:widowControl w:val="on"/>
        <w:pBdr/>
        <w:spacing w:before="240" w:after="240" w:line="240" w:lineRule="auto"/>
        <w:ind w:left="0" w:right="0"/>
        <w:jc w:val="left"/>
      </w:pPr>
      <w:r>
        <w:rPr>
          <w:rFonts w:ascii="Tahoma" w:hAnsi="Tahoma" w:eastAsia="Tahoma" w:cs="Tahoma"/>
          <w:color w:val="000000"/>
          <w:sz w:val="24"/>
          <w:szCs w:val="24"/>
        </w:rPr>
        <w:t xml:space="preserve">
Durch
Verwendung
von
infiziertem
Saatgut
wird
der
Pilz
auf
gesunde
Böden
verschleppt.
Die
Infektion
des
Keimlings
erfolgt
durch
Sporen
am
Samen.
Neben
der
samenbürtigen
Infektion
ist
jedoch
auch
eine
Übertragung
vom
Boden
aus
möglich.</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Wirtschaftliche
Bedeutung</w:t>
      </w:r>
    </w:p>
    <w:p>
      <w:pPr>
        <w:widowControl w:val="on"/>
        <w:pBdr/>
        <w:spacing w:before="240" w:after="240" w:line="240" w:lineRule="auto"/>
        <w:ind w:left="0" w:right="0"/>
        <w:jc w:val="left"/>
      </w:pPr>
      <w:r>
        <w:rPr>
          <w:rFonts w:ascii="Tahoma" w:hAnsi="Tahoma" w:eastAsia="Tahoma" w:cs="Tahoma"/>
          <w:color w:val="000000"/>
          <w:sz w:val="24"/>
          <w:szCs w:val="24"/>
        </w:rPr>
        <w:t xml:space="preserve">
Bei
starkem
Befall
mit
Gerstenhartbrand
ist
mit
Ertragseinbußen
zu
rechnen.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
und
Bekämpfung</w:t>
      </w:r>
    </w:p>
    <w:p>
      <w:pPr>
        <w:numPr>
          <w:ilvl w:val="0"/>
          <w:numId w:val="9685"/>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Verwendung
von
untersuchtem
und
gesundem
Saatgut
wird
empfohlen</w:t>
      </w:r>
    </w:p>
    <w:p>
      <w:pPr>
        <w:numPr>
          <w:ilvl w:val="0"/>
          <w:numId w:val="9685"/>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Saatgutbeizung
gegen
den
Erreger
</w:t>
      </w:r>
      <w:r>
        <w:rPr>
          <w:rFonts w:ascii="Tahoma" w:hAnsi="Tahoma" w:eastAsia="Tahoma" w:cs="Tahoma"/>
          <w:i/>
          <w:iCs/>
          <w:color w:val="000000"/>
          <w:sz w:val="24"/>
          <w:szCs w:val="24"/>
        </w:rPr>
        <w:t xml:space="preserve">
Ustilago
hordei</w:t>
      </w:r>
      <w:r>
        <w:rPr>
          <w:rFonts w:ascii="Tahoma" w:hAnsi="Tahoma" w:eastAsia="Tahoma" w:cs="Tahoma"/>
          <w:color w:val="000000"/>
          <w:sz w:val="24"/>
          <w:szCs w:val="24"/>
        </w:rPr>
        <w:t xml:space="preserve">
ist
möglich</w:t>
      </w:r>
    </w:p>
    <w:p>
      <w:pPr>
        <w:numPr>
          <w:ilvl w:val="0"/>
          <w:numId w:val="9685"/>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Einhaltung
weiter
Fruchtfolgen
sind
empfohlen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2795689f17b26ea63" w:history="1">
        <w:r>
          <w:rPr>
            <w:rFonts w:ascii="Tahoma" w:hAnsi="Tahoma" w:eastAsia="Tahoma" w:cs="Tahoma"/>
            <w:color w:val="000000"/>
            <w:sz w:val="24"/>
            <w:szCs w:val="24"/>
            <w:u w:val="single"/>
          </w:rPr>
          <w:t xml:space="preserve">
Pflanzengesundheit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8578689f17b26f842"/>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2544">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8439">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184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95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55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62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01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91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63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58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96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82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27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62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08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58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02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94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55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35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07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89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70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75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686">
    <w:multiLevelType w:val="hybridMultilevel"/>
    <w:lvl w:ilvl="0" w:tplc="29692073">
      <w:start w:val="1"/>
      <w:numFmt w:val="decimal"/>
      <w:lvlText w:val="%1."/>
      <w:lvlJc w:val="left"/>
      <w:pPr>
        <w:ind w:left="720" w:hanging="360"/>
      </w:pPr>
    </w:lvl>
    <w:lvl w:ilvl="1" w:tplc="29692073" w:tentative="1">
      <w:start w:val="1"/>
      <w:numFmt w:val="lowerLetter"/>
      <w:lvlText w:val="%2."/>
      <w:lvlJc w:val="left"/>
      <w:pPr>
        <w:ind w:left="1440" w:hanging="360"/>
      </w:pPr>
    </w:lvl>
    <w:lvl w:ilvl="2" w:tplc="29692073" w:tentative="1">
      <w:start w:val="1"/>
      <w:numFmt w:val="lowerRoman"/>
      <w:lvlText w:val="%3."/>
      <w:lvlJc w:val="right"/>
      <w:pPr>
        <w:ind w:left="2160" w:hanging="180"/>
      </w:pPr>
    </w:lvl>
    <w:lvl w:ilvl="3" w:tplc="29692073" w:tentative="1">
      <w:start w:val="1"/>
      <w:numFmt w:val="decimal"/>
      <w:lvlText w:val="%4."/>
      <w:lvlJc w:val="left"/>
      <w:pPr>
        <w:ind w:left="2880" w:hanging="360"/>
      </w:pPr>
    </w:lvl>
    <w:lvl w:ilvl="4" w:tplc="29692073" w:tentative="1">
      <w:start w:val="1"/>
      <w:numFmt w:val="lowerLetter"/>
      <w:lvlText w:val="%5."/>
      <w:lvlJc w:val="left"/>
      <w:pPr>
        <w:ind w:left="3600" w:hanging="360"/>
      </w:pPr>
    </w:lvl>
    <w:lvl w:ilvl="5" w:tplc="29692073" w:tentative="1">
      <w:start w:val="1"/>
      <w:numFmt w:val="lowerRoman"/>
      <w:lvlText w:val="%6."/>
      <w:lvlJc w:val="right"/>
      <w:pPr>
        <w:ind w:left="4320" w:hanging="180"/>
      </w:pPr>
    </w:lvl>
    <w:lvl w:ilvl="6" w:tplc="29692073" w:tentative="1">
      <w:start w:val="1"/>
      <w:numFmt w:val="decimal"/>
      <w:lvlText w:val="%7."/>
      <w:lvlJc w:val="left"/>
      <w:pPr>
        <w:ind w:left="5040" w:hanging="360"/>
      </w:pPr>
    </w:lvl>
    <w:lvl w:ilvl="7" w:tplc="29692073" w:tentative="1">
      <w:start w:val="1"/>
      <w:numFmt w:val="lowerLetter"/>
      <w:lvlText w:val="%8."/>
      <w:lvlJc w:val="left"/>
      <w:pPr>
        <w:ind w:left="5760" w:hanging="360"/>
      </w:pPr>
    </w:lvl>
    <w:lvl w:ilvl="8" w:tplc="29692073" w:tentative="1">
      <w:start w:val="1"/>
      <w:numFmt w:val="lowerRoman"/>
      <w:lvlText w:val="%9."/>
      <w:lvlJc w:val="right"/>
      <w:pPr>
        <w:ind w:left="6480" w:hanging="180"/>
      </w:pPr>
    </w:lvl>
  </w:abstractNum>
  <w:abstractNum w:abstractNumId="9685">
    <w:multiLevelType w:val="hybridMultilevel"/>
    <w:lvl w:ilvl="0" w:tplc="669198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9685">
    <w:abstractNumId w:val="9685"/>
  </w:num>
  <w:num w:numId="9686">
    <w:abstractNumId w:val="9686"/>
  </w:num>
  <w:num w:numId="8756">
    <w:abstractNumId w:val="8756"/>
  </w:num>
  <w:num w:numId="1709">
    <w:abstractNumId w:val="1709"/>
  </w:num>
  <w:num w:numId="1891">
    <w:abstractNumId w:val="1891"/>
  </w:num>
  <w:num w:numId="8071">
    <w:abstractNumId w:val="8071"/>
  </w:num>
  <w:num w:numId="4350">
    <w:abstractNumId w:val="4350"/>
  </w:num>
  <w:num w:numId="7559">
    <w:abstractNumId w:val="7559"/>
  </w:num>
  <w:num w:numId="7946">
    <w:abstractNumId w:val="7946"/>
  </w:num>
  <w:num w:numId="5025">
    <w:abstractNumId w:val="5025"/>
  </w:num>
  <w:num w:numId="5588">
    <w:abstractNumId w:val="5588"/>
  </w:num>
  <w:num w:numId="6088">
    <w:abstractNumId w:val="6088"/>
  </w:num>
  <w:num w:numId="1621">
    <w:abstractNumId w:val="1621"/>
  </w:num>
  <w:num w:numId="2277">
    <w:abstractNumId w:val="2277"/>
  </w:num>
  <w:num w:numId="3822">
    <w:abstractNumId w:val="3822"/>
  </w:num>
  <w:num w:numId="9961">
    <w:abstractNumId w:val="9961"/>
  </w:num>
  <w:num w:numId="5585">
    <w:abstractNumId w:val="5585"/>
  </w:num>
  <w:num w:numId="7637">
    <w:abstractNumId w:val="7637"/>
  </w:num>
  <w:num w:numId="8919">
    <w:abstractNumId w:val="8919"/>
  </w:num>
  <w:num w:numId="2014">
    <w:abstractNumId w:val="2014"/>
  </w:num>
  <w:num w:numId="6626">
    <w:abstractNumId w:val="6626"/>
  </w:num>
  <w:num w:numId="9552">
    <w:abstractNumId w:val="9552"/>
  </w:num>
  <w:num w:numId="6951">
    <w:abstractNumId w:val="6951"/>
  </w:num>
  <w:num w:numId="1841">
    <w:abstractNumId w:val="1841"/>
  </w:num>
  <w:num w:numId="8439">
    <w:abstractNumId w:val="8439"/>
  </w:num>
  <w:num w:numId="2544">
    <w:abstractNumId w:val="25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271658872" Type="http://schemas.openxmlformats.org/officeDocument/2006/relationships/footnotes" Target="footnotes.xml"/><Relationship Id="rId613940244" Type="http://schemas.openxmlformats.org/officeDocument/2006/relationships/endnotes" Target="endnotes.xml"/><Relationship Id="rId158454619" Type="http://schemas.openxmlformats.org/officeDocument/2006/relationships/comments" Target="comments.xml"/><Relationship Id="rId599090021" Type="http://schemas.microsoft.com/office/2011/relationships/commentsExtended" Target="commentsExtended.xml"/><Relationship Id="rId175073026" Type="http://schemas.microsoft.com/office/2011/relationships/people" Target="people.xml"/><Relationship Id="rId2795689f17b26ea63" Type="http://schemas.openxmlformats.org/officeDocument/2006/relationships/hyperlink" Target="pflanze/pflanzengesundheit/pflanzengesundheit-services" TargetMode="External"/><Relationship Id="rId7671689f17b25a80b" Type="http://schemas.openxmlformats.org/officeDocument/2006/relationships/image" Target="media/imgrId7671689f17b25a80b.jpg"/><Relationship Id="rId8836689f17b26e87a" Type="http://schemas.openxmlformats.org/officeDocument/2006/relationships/image" Target="media/imgrId8836689f17b26e87a.jpg"/><Relationship Id="rId8578689f17b26f842"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