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Gelbverzwergung des Getreides</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21:32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Gelbverzwergung
des
Getreides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Barley
yellow
dwarf
virus</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02.05.2024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Die
Gelbverzwergung
des
Getreides
ist
eine
Krankheit,
die
durch
die
Gelbverzwergungsviren
ausgelöst
wird.
Dabei
handelt
es
sich
um
einige
der
am
weitesten
verbreiteten
Pflanzenviren.
Die
Infektion
erfolgt
über
mit
dem
Virus
infizierte
Blattläuse.
Symptome
der
Virusinfektion
sind
unter
anderem
Kleinwuchs
und
gelb-orange
Verfärbungen
der
Blätter.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Verursacht
wird
die
Gelbverzwergung
des
Getreides
durch
die
Gelbverzwergungsviren.
Das
ist
ein
Sammelbegriff
für
das
Gerstengelbverzwergungsvirus
(Barley
yellow
dwarf
virus,
BYDV)
und
das
Getreidegelbverzwergungvirus
(Cereal
yellow
dwarf
virus,
CYDV).
Diese
werden
noch
in
verschiedenen
Serotypen
unterteilt,
welche
durch
jeweils
eine
Blattlausart
hauptsächlich
übertragen
werden.
Die
größten
Schäden
treten
in
früh
angebauter
Wintergerste
auf
(deshalb
spricht
man
auch
oft
nur
von
der
Gelbverzwergung
der
Gerste),
aber
auch
alle
anderen
Getreidearten,
Mais
und
viele
Gräser-Arten,
besonders
Weidel-Gräser,
können
befallen
werden.
Am
widerstandsfähigsten
sind
Roggen
und
Triticale.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Auffällig
sind
Zwergwuchs
und
prinzipiell
Veränderungen
im
Erscheinungsbild
der
Pflanzen
kombiniert
mit
verfärbten
und
teilweise
deformierten
Blättern.
Es
kommt
auch
zur
Ausbildung
von
tauben
Ähren.
Bei
früh
angebautem
Getreide
kann
man
bereits
im
Herbst
die
ersten
Symptome
sehen.
Bei
Wintergerste
sind
die
Verzwergungen
stärker
ausgeprägt
als
bei
Winterweizen.
Bei
stark
gestauchter
Gerste
kommt
es
zu
einer
vermehrten
Bestockung
und
es
ergibt
sich
ein
grasähnliches
Erscheinungsbild.
Typisch
sind
auch
streifige
Aufhellungen
zwischen
den
Blattadern
und
an
den
Blatträndern.
Hafer
und
Weizen
bestocken
hingegen
kaum
und
die
Fahnenblätter
sind
rötlich-violett
gefärbt.
Die
Gelbverzwergung
tritt
in
der
Regel
nesterartig
auf,
es
können
bei
starkem
Befall
jedoch
ganze
Schläge
infiziert
sein.</w:t>
      </w:r>
    </w:p>
    <w:p>
      <w:pPr>
        <w:widowControl w:val="on"/>
        <w:pBdr/>
        <w:spacing w:before="0" w:after="0" w:line="240" w:lineRule="auto"/>
        <w:ind w:left="0" w:right="0"/>
        <w:jc w:val="left"/>
      </w:pPr>
      <w:hyperlink r:id="rId1959681e585c837af" w:history="1">
        <w:r>
          <w:drawing>
            <wp:inline distT="0" distB="0" distL="0" distR="0">
              <wp:extent cx="5400000" cy="8100000"/>
              <wp:docPr id="71922622" name="name2575681e585c9450b" descr="csm_Gelbverzwergung_1_4fb1679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1_4fb16796bb.jpg"/>
                      <pic:cNvPicPr/>
                    </pic:nvPicPr>
                    <pic:blipFill>
                      <a:blip r:embed="rId6346681e585c94507" cstate="print"/>
                      <a:stretch>
                        <a:fillRect/>
                      </a:stretch>
                    </pic:blipFill>
                    <pic:spPr>
                      <a:xfrm>
                        <a:off x="0" y="0"/>
                        <a:ext cx="5400000" cy="81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Bei
einer
späteren
Keimung
im
Herbst
wurde
diese
Wintergerstensorte
teilweise
nicht
infiziert.</w:t>
      </w:r>
      <w:fldSimple w:instr=" SEQ Figure \* ARABIC ">
        <w:r>
          <w:rPr>
            <w:noProof/>
          </w:rPr>
          <w:t/>
        </w:r>
      </w:fldSimple>
      <w:bookmarkStart w:id="3858938" w:name=""/>
      <w:bookmarkEnd w:id="3858938"/>
    </w:p>
    <w:p>
      <w:pPr>
        <w:widowControl w:val="on"/>
        <w:pBdr/>
        <w:spacing w:before="0" w:after="0" w:line="240" w:lineRule="auto"/>
        <w:ind w:left="0" w:right="0"/>
        <w:jc w:val="left"/>
      </w:pPr>
      <w:hyperlink r:id="rId6976681e585c94604" w:history="1">
        <w:r>
          <w:drawing>
            <wp:inline distT="0" distB="0" distL="0" distR="0">
              <wp:extent cx="5400000" cy="8100000"/>
              <wp:docPr id="75308333" name="name5513681e585ca588c" descr="csm_Gelbverzwergung_4_48839bb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4_48839bba3a.jpg"/>
                      <pic:cNvPicPr/>
                    </pic:nvPicPr>
                    <pic:blipFill>
                      <a:blip r:embed="rId8345681e585ca5888" cstate="print"/>
                      <a:stretch>
                        <a:fillRect/>
                      </a:stretch>
                    </pic:blipFill>
                    <pic:spPr>
                      <a:xfrm>
                        <a:off x="0" y="0"/>
                        <a:ext cx="5400000" cy="81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Die
beiden
linken
Gerstenpflanzen
sind
sehr
stark
durch
den
BYD-Virus
geschädigt.
Die
rechte
Pflanze
hat
die
normale
Entwicklung
(Anfang
April).</w:t>
      </w:r>
      <w:fldSimple w:instr=" SEQ Figure \* ARABIC ">
        <w:r>
          <w:rPr>
            <w:noProof/>
          </w:rPr>
          <w:t/>
        </w:r>
      </w:fldSimple>
      <w:bookmarkStart w:id="7068013" w:name=""/>
      <w:bookmarkEnd w:id="7068013"/>
    </w:p>
    <w:p>
      <w:pPr>
        <w:widowControl w:val="on"/>
        <w:pBdr/>
        <w:spacing w:before="0" w:after="0" w:line="240" w:lineRule="auto"/>
        <w:ind w:left="0" w:right="0"/>
        <w:jc w:val="left"/>
      </w:pPr>
      <w:hyperlink r:id="rId7448681e585ca5983" w:history="1">
        <w:r>
          <w:drawing>
            <wp:inline distT="0" distB="0" distL="0" distR="0">
              <wp:extent cx="5400000" cy="3600000"/>
              <wp:docPr id="82100174" name="name5826681e585cb4f20" descr="csm_Gelbverzwergung_2_559946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2_559946083b.jpg"/>
                      <pic:cNvPicPr/>
                    </pic:nvPicPr>
                    <pic:blipFill>
                      <a:blip r:embed="rId1129681e585cb4f1c" cstate="print"/>
                      <a:stretch>
                        <a:fillRect/>
                      </a:stretch>
                    </pic:blipFill>
                    <pic:spPr>
                      <a:xfrm>
                        <a:off x="0" y="0"/>
                        <a:ext cx="5400000" cy="36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Sortenunterschiede
von
Wintergerste
bei
gleichzeitigem
Anbau.</w:t>
      </w:r>
      <w:fldSimple w:instr=" SEQ Figure \* ARABIC ">
        <w:r>
          <w:rPr>
            <w:noProof/>
          </w:rPr>
          <w:t/>
        </w:r>
      </w:fldSimple>
      <w:bookmarkStart w:id="9655249" w:name=""/>
      <w:bookmarkEnd w:id="9655249"/>
    </w:p>
    <w:p>
      <w:pPr>
        <w:widowControl w:val="on"/>
        <w:pBdr/>
        <w:spacing w:before="0" w:after="0" w:line="240" w:lineRule="auto"/>
        <w:ind w:left="0" w:right="0"/>
        <w:jc w:val="left"/>
      </w:pPr>
      <w:hyperlink r:id="rId2065681e585cb5013" w:history="1">
        <w:r>
          <w:drawing>
            <wp:inline distT="0" distB="0" distL="0" distR="0">
              <wp:extent cx="5400000" cy="3600000"/>
              <wp:docPr id="71231474" name="name4938681e585cc3b44" descr="csm_Gelbverzwergung_5_f445411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5_f4454117b7.jpg"/>
                      <pic:cNvPicPr/>
                    </pic:nvPicPr>
                    <pic:blipFill>
                      <a:blip r:embed="rId3063681e585cc3b40" cstate="print"/>
                      <a:stretch>
                        <a:fillRect/>
                      </a:stretch>
                    </pic:blipFill>
                    <pic:spPr>
                      <a:xfrm>
                        <a:off x="0" y="0"/>
                        <a:ext cx="5400000" cy="36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Bei
leichterem
Befall
treten
die
Schäden
nesterweise
auf
(hier
im
Bild
Winterhafer).</w:t>
      </w:r>
      <w:fldSimple w:instr=" SEQ Figure \* ARABIC ">
        <w:r>
          <w:rPr>
            <w:noProof/>
          </w:rPr>
          <w:t/>
        </w:r>
      </w:fldSimple>
      <w:bookmarkStart w:id="6271928" w:name=""/>
      <w:bookmarkEnd w:id="6271928"/>
    </w:p>
    <w:p>
      <w:pPr>
        <w:widowControl w:val="on"/>
        <w:pBdr/>
        <w:spacing w:before="0" w:after="0" w:line="240" w:lineRule="auto"/>
        <w:ind w:left="0" w:right="0"/>
        <w:jc w:val="left"/>
      </w:pPr>
      <w:hyperlink r:id="rId3767681e585cc3c3b" w:history="1">
        <w:r>
          <w:drawing>
            <wp:inline distT="0" distB="0" distL="0" distR="0">
              <wp:extent cx="5400000" cy="8100000"/>
              <wp:docPr id="70286409" name="name6260681e585cd674d" descr="csm_Gelbverzwergung_3_2b7bc04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Gelbverzwergung_3_2b7bc04c0c.jpg"/>
                      <pic:cNvPicPr/>
                    </pic:nvPicPr>
                    <pic:blipFill>
                      <a:blip r:embed="rId8708681e585cd6749" cstate="print"/>
                      <a:stretch>
                        <a:fillRect/>
                      </a:stretch>
                    </pic:blipFill>
                    <pic:spPr>
                      <a:xfrm>
                        <a:off x="0" y="0"/>
                        <a:ext cx="5400000" cy="81000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Winterhafer
reagiert
mit
rötlichen
Verfärbungen
auf
den
Virusbefall</w:t>
      </w:r>
      <w:fldSimple w:instr=" SEQ Figure \* ARABIC ">
        <w:r>
          <w:rPr>
            <w:noProof/>
          </w:rPr>
          <w:t/>
        </w:r>
      </w:fldSimple>
      <w:bookmarkStart w:id="951315" w:name=""/>
      <w:bookmarkEnd w:id="951315"/>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Das
Virus
befällt
alle
Getreidearten,
Mais
und
viele
Gräserarten,
besonders
Weidelgräser.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Gelbverzwergungsviren
sind
weltweit
verbreitet.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Die
Übertragung
des
Barley
yellow
dwarf
virus
erfolgt
durch
</w:t>
      </w:r>
      <w:hyperlink r:id="rId6019681e585cd6952" w:history="1">
        <w:r>
          <w:rPr>
            <w:rFonts w:ascii="Tahoma" w:hAnsi="Tahoma" w:eastAsia="Tahoma" w:cs="Tahoma"/>
            <w:color w:val="000000"/>
            <w:sz w:val="24"/>
            <w:szCs w:val="24"/>
            <w:u w:val="single"/>
          </w:rPr>
          <w:t xml:space="preserve">
Blattläuse</w:t>
        </w:r>
      </w:hyperlink>
      <w:r>
        <w:rPr>
          <w:rFonts w:ascii="Tahoma" w:hAnsi="Tahoma" w:eastAsia="Tahoma" w:cs="Tahoma"/>
          <w:color w:val="000000"/>
          <w:sz w:val="24"/>
          <w:szCs w:val="24"/>
        </w:rPr>
        <w:t xml:space="preserve">.
Insgesamt
kennt
man
über
24
Blattlausarten,
die
als
Überträger
in
Frage
kommen,
so
auch
die
Bleiche
Getreideblattlaus
(</w:t>
      </w:r>
      <w:r>
        <w:rPr>
          <w:rFonts w:ascii="Tahoma" w:hAnsi="Tahoma" w:eastAsia="Tahoma" w:cs="Tahoma"/>
          <w:i/>
          <w:iCs/>
          <w:color w:val="000000"/>
          <w:sz w:val="24"/>
          <w:szCs w:val="24"/>
        </w:rPr>
        <w:t xml:space="preserve">Macrosiphum
dirhodum</w:t>
      </w:r>
      <w:r>
        <w:rPr>
          <w:rFonts w:ascii="Tahoma" w:hAnsi="Tahoma" w:eastAsia="Tahoma" w:cs="Tahoma"/>
          <w:color w:val="000000"/>
          <w:sz w:val="24"/>
          <w:szCs w:val="24"/>
        </w:rPr>
        <w:t xml:space="preserve">).
Laut
Literatur
benötigen
die
Läuse
ein
bis
zwölf
Stunden
Saugtätigkeit,
um
das
Virus
von
befallenen
Pflanzen
aufzunehmen.
Nach
ein
bis
zwei
Tagen
Verweildauer
der
Viren
im
Körper
der
Läuse
kann
das
Virus
zeitlebens
von
diesen
Tieren
übertragen
werden.
Die
Virusübertragung
erfolgt
nach
mehrstündigem
Saugen
an
Pflanzen. </w:t>
      </w:r>
    </w:p>
    <w:p>
      <w:pPr>
        <w:widowControl w:val="on"/>
        <w:pBdr/>
        <w:spacing w:before="240" w:after="240" w:line="240" w:lineRule="auto"/>
        <w:ind w:left="0" w:right="0"/>
        <w:jc w:val="left"/>
      </w:pPr>
      <w:r>
        <w:rPr>
          <w:rFonts w:ascii="Tahoma" w:hAnsi="Tahoma" w:eastAsia="Tahoma" w:cs="Tahoma"/>
          <w:color w:val="000000"/>
          <w:sz w:val="24"/>
          <w:szCs w:val="24"/>
        </w:rPr>
        <w:t xml:space="preserve">
Durch
einfliegende
Blattläuse
werden
die
Getreidepflanzen
infiziert
und
durch
die
Nachkommen
dieser
Blattläuse
kann
die
Krankheit
im
Bestand
verbreitet
werden.
Je
länger
die
Läuse
Zeit
haben
sich
zu
vermehren,
umso
größer
werden
die
befallenen
Stellen.
Die
Blattlauseinwanderung
und
-vermehrung
wird
durch
milde
und
trockene
Witterung
im
Herbst
gefördert.
Bedeutende
Infektionsquellen
sind
im
Herbst
infiziertes
Ausfallgetreide,
Mais,
aber
auch
Gräser
auf
Grünland,
Feldrändern
und
Ungräser.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Die
Gelbverzwergung
des
Getreides
war
früher
vor
allem
im
pannonischen
Raum
alljährlich
an
Wintergetreide
zu
beobachten.
Mittlerweile
kann
bei
anhaltender
milder
Witterung
im
Herbst
in
allen
Getreideanbaugebieten
und
bei
allen
Getreidearten
mit
großen
Verlusten
durch
diese
Krankheit
gerechnet
werden.
Stark
befallene
Winterungen
müssen
im
Frühjahr
meist
umgebrochen
werden.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229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Verzicht
auf
extreme
Frühsaat
des
Wintergetreides
stellt
den
besten
Schutz
vor
Herbstinfektionen
dar</w:t>
      </w:r>
    </w:p>
    <w:p>
      <w:pPr>
        <w:numPr>
          <w:ilvl w:val="0"/>
          <w:numId w:val="229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Sorgfältige
Bekämpfung
von
Ausfallgetreide
vor
dem
Auflaufen
der
Winterungen</w:t>
      </w:r>
    </w:p>
    <w:p>
      <w:pPr>
        <w:numPr>
          <w:ilvl w:val="0"/>
          <w:numId w:val="229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Pflege
von
Feld-
und
Wegrändern</w:t>
      </w:r>
    </w:p>
    <w:p>
      <w:pPr>
        <w:numPr>
          <w:ilvl w:val="0"/>
          <w:numId w:val="229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Befallsminderung
durch
lückenloses
und
zügiges
Auflaufen
der
Winterungen
(Blattläuse
fliegen
bevorzugt
lückige
Bestände
an)</w:t>
      </w:r>
    </w:p>
    <w:p>
      <w:pPr>
        <w:numPr>
          <w:ilvl w:val="0"/>
          <w:numId w:val="229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Früher
Anbau
von
Sommerungen
(im
Gegensatz
zu
den
Winterungen)</w:t>
      </w:r>
    </w:p>
    <w:p>
      <w:pPr>
        <w:numPr>
          <w:ilvl w:val="0"/>
          <w:numId w:val="229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Bekämpfung
der
Blattläuse
durch
insektizide
Spritzbehandlungen
im
Bestand
(siehe
</w:t>
      </w:r>
      <w:hyperlink r:id="rId3857681e585cd6b40" w:history="1">
        <w:r>
          <w:rPr>
            <w:rFonts w:ascii="Tahoma" w:hAnsi="Tahoma" w:eastAsia="Tahoma" w:cs="Tahoma"/>
            <w:color w:val="000000"/>
            <w:sz w:val="24"/>
            <w:szCs w:val="24"/>
            <w:u w:val="single"/>
          </w:rPr>
          <w:t xml:space="preserve">
Verzeichnis
der
in
Österreich
zugelassenen
Pflanzenschutzmittel</w:t>
        </w:r>
      </w:hyperlink>
      <w:r>
        <w:rPr>
          <w:rFonts w:ascii="Tahoma" w:hAnsi="Tahoma" w:eastAsia="Tahoma" w:cs="Tahoma"/>
          <w:color w:val="000000"/>
          <w:sz w:val="24"/>
          <w:szCs w:val="24"/>
        </w:rPr>
        <w:t xml:space="preserve">)</w:t>
      </w:r>
    </w:p>
    <w:p>
      <w:pPr>
        <w:numPr>
          <w:ilvl w:val="0"/>
          <w:numId w:val="2290"/>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Verwendung
einer
resistenten
Sorte
laut </w:t>
      </w:r>
      <w:hyperlink r:id="rId1952681e585cd6b7f" w:history="1">
        <w:r>
          <w:rPr>
            <w:rFonts w:ascii="Tahoma" w:hAnsi="Tahoma" w:eastAsia="Tahoma" w:cs="Tahoma"/>
            <w:color w:val="000000"/>
            <w:sz w:val="24"/>
            <w:szCs w:val="24"/>
            <w:u w:val="single"/>
          </w:rPr>
          <w:t xml:space="preserve">Österreichischer
Beschreibender
Sortenliste </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Seit
2019
wird
von
den
Landwirtschaftskammern
in
Kooperation
mit
uns
ein
</w:t>
      </w:r>
      <w:hyperlink r:id="rId8258681e585cd6bde" w:history="1">
        <w:r>
          <w:rPr>
            <w:rFonts w:ascii="Tahoma" w:hAnsi="Tahoma" w:eastAsia="Tahoma" w:cs="Tahoma"/>
            <w:color w:val="000000"/>
            <w:sz w:val="24"/>
            <w:szCs w:val="24"/>
            <w:u w:val="single"/>
          </w:rPr>
          <w:t xml:space="preserve">
Getreidevirosen
Monitoring</w:t>
        </w:r>
      </w:hyperlink>
      <w:r>
        <w:rPr>
          <w:rFonts w:ascii="Tahoma" w:hAnsi="Tahoma" w:eastAsia="Tahoma" w:cs="Tahoma"/>
          <w:color w:val="000000"/>
          <w:sz w:val="24"/>
          <w:szCs w:val="24"/>
        </w:rPr>
        <w:t xml:space="preserve">
durchgeführt.
Interessiere
Landwirtinnen
und
Landwirte
können
sich
einen
Überblick
über
die
Virussituation
in
ihrer
Region
machen
und
gegebenenfalls
den
Anbauzeitpunkt
nach
hinten
verschieben.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6485681e585cd6c2a"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3760681e585cd8d5d"/>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6684">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405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29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64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607">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78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98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94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12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54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14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15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19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19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00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82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58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93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10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51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87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99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54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62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291">
    <w:multiLevelType w:val="hybridMultilevel"/>
    <w:lvl w:ilvl="0" w:tplc="59412109">
      <w:start w:val="1"/>
      <w:numFmt w:val="decimal"/>
      <w:lvlText w:val="%1."/>
      <w:lvlJc w:val="left"/>
      <w:pPr>
        <w:ind w:left="720" w:hanging="360"/>
      </w:pPr>
    </w:lvl>
    <w:lvl w:ilvl="1" w:tplc="59412109" w:tentative="1">
      <w:start w:val="1"/>
      <w:numFmt w:val="lowerLetter"/>
      <w:lvlText w:val="%2."/>
      <w:lvlJc w:val="left"/>
      <w:pPr>
        <w:ind w:left="1440" w:hanging="360"/>
      </w:pPr>
    </w:lvl>
    <w:lvl w:ilvl="2" w:tplc="59412109" w:tentative="1">
      <w:start w:val="1"/>
      <w:numFmt w:val="lowerRoman"/>
      <w:lvlText w:val="%3."/>
      <w:lvlJc w:val="right"/>
      <w:pPr>
        <w:ind w:left="2160" w:hanging="180"/>
      </w:pPr>
    </w:lvl>
    <w:lvl w:ilvl="3" w:tplc="59412109" w:tentative="1">
      <w:start w:val="1"/>
      <w:numFmt w:val="decimal"/>
      <w:lvlText w:val="%4."/>
      <w:lvlJc w:val="left"/>
      <w:pPr>
        <w:ind w:left="2880" w:hanging="360"/>
      </w:pPr>
    </w:lvl>
    <w:lvl w:ilvl="4" w:tplc="59412109" w:tentative="1">
      <w:start w:val="1"/>
      <w:numFmt w:val="lowerLetter"/>
      <w:lvlText w:val="%5."/>
      <w:lvlJc w:val="left"/>
      <w:pPr>
        <w:ind w:left="3600" w:hanging="360"/>
      </w:pPr>
    </w:lvl>
    <w:lvl w:ilvl="5" w:tplc="59412109" w:tentative="1">
      <w:start w:val="1"/>
      <w:numFmt w:val="lowerRoman"/>
      <w:lvlText w:val="%6."/>
      <w:lvlJc w:val="right"/>
      <w:pPr>
        <w:ind w:left="4320" w:hanging="180"/>
      </w:pPr>
    </w:lvl>
    <w:lvl w:ilvl="6" w:tplc="59412109" w:tentative="1">
      <w:start w:val="1"/>
      <w:numFmt w:val="decimal"/>
      <w:lvlText w:val="%7."/>
      <w:lvlJc w:val="left"/>
      <w:pPr>
        <w:ind w:left="5040" w:hanging="360"/>
      </w:pPr>
    </w:lvl>
    <w:lvl w:ilvl="7" w:tplc="59412109" w:tentative="1">
      <w:start w:val="1"/>
      <w:numFmt w:val="lowerLetter"/>
      <w:lvlText w:val="%8."/>
      <w:lvlJc w:val="left"/>
      <w:pPr>
        <w:ind w:left="5760" w:hanging="360"/>
      </w:pPr>
    </w:lvl>
    <w:lvl w:ilvl="8" w:tplc="59412109" w:tentative="1">
      <w:start w:val="1"/>
      <w:numFmt w:val="lowerRoman"/>
      <w:lvlText w:val="%9."/>
      <w:lvlJc w:val="right"/>
      <w:pPr>
        <w:ind w:left="6480" w:hanging="180"/>
      </w:pPr>
    </w:lvl>
  </w:abstractNum>
  <w:abstractNum w:abstractNumId="2290">
    <w:multiLevelType w:val="hybridMultilevel"/>
    <w:lvl w:ilvl="0" w:tplc="231992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2290">
    <w:abstractNumId w:val="2290"/>
  </w:num>
  <w:num w:numId="2291">
    <w:abstractNumId w:val="2291"/>
  </w:num>
  <w:num w:numId="3627">
    <w:abstractNumId w:val="3627"/>
  </w:num>
  <w:num w:numId="5543">
    <w:abstractNumId w:val="5543"/>
  </w:num>
  <w:num w:numId="5994">
    <w:abstractNumId w:val="5994"/>
  </w:num>
  <w:num w:numId="5875">
    <w:abstractNumId w:val="5875"/>
  </w:num>
  <w:num w:numId="9516">
    <w:abstractNumId w:val="9516"/>
  </w:num>
  <w:num w:numId="2104">
    <w:abstractNumId w:val="2104"/>
  </w:num>
  <w:num w:numId="5937">
    <w:abstractNumId w:val="5937"/>
  </w:num>
  <w:num w:numId="3585">
    <w:abstractNumId w:val="3585"/>
  </w:num>
  <w:num w:numId="3820">
    <w:abstractNumId w:val="3820"/>
  </w:num>
  <w:num w:numId="7001">
    <w:abstractNumId w:val="7001"/>
  </w:num>
  <w:num w:numId="6199">
    <w:abstractNumId w:val="6199"/>
  </w:num>
  <w:num w:numId="2192">
    <w:abstractNumId w:val="2192"/>
  </w:num>
  <w:num w:numId="8157">
    <w:abstractNumId w:val="8157"/>
  </w:num>
  <w:num w:numId="2145">
    <w:abstractNumId w:val="2145"/>
  </w:num>
  <w:num w:numId="8544">
    <w:abstractNumId w:val="8544"/>
  </w:num>
  <w:num w:numId="5124">
    <w:abstractNumId w:val="5124"/>
  </w:num>
  <w:num w:numId="3945">
    <w:abstractNumId w:val="3945"/>
  </w:num>
  <w:num w:numId="7981">
    <w:abstractNumId w:val="7981"/>
  </w:num>
  <w:num w:numId="5788">
    <w:abstractNumId w:val="5788"/>
  </w:num>
  <w:num w:numId="5607">
    <w:abstractNumId w:val="5607"/>
  </w:num>
  <w:num w:numId="5642">
    <w:abstractNumId w:val="5642"/>
  </w:num>
  <w:num w:numId="5291">
    <w:abstractNumId w:val="5291"/>
  </w:num>
  <w:num w:numId="4054">
    <w:abstractNumId w:val="4054"/>
  </w:num>
  <w:num w:numId="6684">
    <w:abstractNumId w:val="6684"/>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650040200" Type="http://schemas.openxmlformats.org/officeDocument/2006/relationships/footnotes" Target="footnotes.xml"/><Relationship Id="rId235796959" Type="http://schemas.openxmlformats.org/officeDocument/2006/relationships/endnotes" Target="endnotes.xml"/><Relationship Id="rId989630348" Type="http://schemas.openxmlformats.org/officeDocument/2006/relationships/comments" Target="comments.xml"/><Relationship Id="rId324002924" Type="http://schemas.microsoft.com/office/2011/relationships/commentsExtended" Target="commentsExtended.xml"/><Relationship Id="rId206990971" Type="http://schemas.microsoft.com/office/2011/relationships/people" Target="people.xml"/><Relationship Id="rId1959681e585c837af" Type="http://schemas.openxmlformats.org/officeDocument/2006/relationships/hyperlink" Target="download/sdl-eyJ0eXAiOiJKV1QiLCJhbGciOiJIUzI1NiJ9.eyJpYXQiOjE2MDk0NTkyMDAsImV4cCI6NDA3MDkwODgwMCwidXNlciI6MCwiZ3JvdXBzIjpbMCwtMV0sImZpbGUiOiJmaWxlYWRtaW4vX3Byb2Nlc3NlZF8vZi8yL2NzbV9HZWxidmVyendlcmd1bmdfMV80ODA3N2MyZGVhLmpwZyIsInBhZ2UiOjEzMDZ9.JTNFbJh25E7auo7cgAMHWUGpI13M732fJgID1_6ZUZw/csm_Gelbverzwergung_1_48077c2dea.jpg" TargetMode="External"/><Relationship Id="rId6976681e585c94604" Type="http://schemas.openxmlformats.org/officeDocument/2006/relationships/hyperlink" Target="download/sdl-eyJ0eXAiOiJKV1QiLCJhbGciOiJIUzI1NiJ9.eyJpYXQiOjE2MDk0NTkyMDAsImV4cCI6NDA3MDkwODgwMCwidXNlciI6MCwiZ3JvdXBzIjpbMCwtMV0sImZpbGUiOiJmaWxlYWRtaW4vX3Byb2Nlc3NlZF8vOS9kL2NzbV9HZWxidmVyendlcmd1bmdfNF82NzRlOGRlODk1LmpwZyIsInBhZ2UiOjEzMDZ9.nBjGXqKaYJG-tygk8ZHOhfdU0YU6VEpYd136Uy12_6E/csm_Gelbverzwergung_4_674e8de895.jpg" TargetMode="External"/><Relationship Id="rId7448681e585ca5983" Type="http://schemas.openxmlformats.org/officeDocument/2006/relationships/hyperlink" Target="download/sdl-eyJ0eXAiOiJKV1QiLCJhbGciOiJIUzI1NiJ9.eyJpYXQiOjE2MDk0NTkyMDAsImV4cCI6NDA3MDkwODgwMCwidXNlciI6MCwiZ3JvdXBzIjpbMCwtMV0sImZpbGUiOiJmaWxlYWRtaW4vX3Byb2Nlc3NlZF8vYi8yL2NzbV9HZWxidmVyendlcmd1bmdfMl85NGIzNjkwZjAzLmpwZyIsInBhZ2UiOjEzMDZ9.ZO1nw2pi6LeKMMbs9ISSKVf3IAfp1l5DTU62_vnz_Rk/csm_Gelbverzwergung_2_94b3690f03.jpg" TargetMode="External"/><Relationship Id="rId2065681e585cb5013" Type="http://schemas.openxmlformats.org/officeDocument/2006/relationships/hyperlink" Target="download/sdl-eyJ0eXAiOiJKV1QiLCJhbGciOiJIUzI1NiJ9.eyJpYXQiOjE2MDk0NTkyMDAsImV4cCI6NDA3MDkwODgwMCwidXNlciI6MCwiZ3JvdXBzIjpbMCwtMV0sImZpbGUiOiJmaWxlYWRtaW4vX3Byb2Nlc3NlZF8vZC80L2NzbV9HZWxidmVyendlcmd1bmdfNV85YjE2Yzg0ODEyLmpwZyIsInBhZ2UiOjEzMDZ9.wNUVf69DRLKvAK8p9QOk6NcovHnFYuBZScehddrT6HU/csm_Gelbverzwergung_5_9b16c84812.jpg" TargetMode="External"/><Relationship Id="rId3767681e585cc3c3b" Type="http://schemas.openxmlformats.org/officeDocument/2006/relationships/hyperlink" Target="download/sdl-eyJ0eXAiOiJKV1QiLCJhbGciOiJIUzI1NiJ9.eyJpYXQiOjE2MDk0NTkyMDAsImV4cCI6NDA3MDkwODgwMCwidXNlciI6MCwiZ3JvdXBzIjpbMCwtMV0sImZpbGUiOiJmaWxlYWRtaW4vX3Byb2Nlc3NlZF8vMC8zL2NzbV9HZWxidmVyendlcmd1bmdfM18xZDQxYTM5MGJjLmpwZyIsInBhZ2UiOjEzMDZ9.rZvdd-z2q8tfVRVHNa9zbcoDzbob4-0qxxLrGQQTky8/csm_Gelbverzwergung_3_1d41a390bc.jpg" TargetMode="External"/><Relationship Id="rId6019681e585cd6952" Type="http://schemas.openxmlformats.org/officeDocument/2006/relationships/hyperlink" Target="pflanze/pflanzengesundheit/schaderreger-von-a-bis-z/blattlaeuse" TargetMode="External"/><Relationship Id="rId3857681e585cd6b40" Type="http://schemas.openxmlformats.org/officeDocument/2006/relationships/hyperlink" Target="https://www.baes.gv.at/zulassung/pflanzenschutzmittel/pflanzenschutzmittelregister/" TargetMode="External"/><Relationship Id="rId1952681e585cd6b7f" Type="http://schemas.openxmlformats.org/officeDocument/2006/relationships/hyperlink" Target="https://bsl.baes.gv.at/kulturen/getreide/wintergerste" TargetMode="External"/><Relationship Id="rId8258681e585cd6bde" Type="http://schemas.openxmlformats.org/officeDocument/2006/relationships/hyperlink" Target="https://warndienst.lko.at/getreidevirosen+2500++1075648+6635" TargetMode="External"/><Relationship Id="rId6485681e585cd6c2a" Type="http://schemas.openxmlformats.org/officeDocument/2006/relationships/hyperlink" Target="pflanze/pflanzengesundheit/pflanzengesundheit-services" TargetMode="External"/><Relationship Id="rId6346681e585c94507" Type="http://schemas.openxmlformats.org/officeDocument/2006/relationships/image" Target="media/imgrId6346681e585c94507.jpg"/><Relationship Id="rId8345681e585ca5888" Type="http://schemas.openxmlformats.org/officeDocument/2006/relationships/image" Target="media/imgrId8345681e585ca5888.jpg"/><Relationship Id="rId1129681e585cb4f1c" Type="http://schemas.openxmlformats.org/officeDocument/2006/relationships/image" Target="media/imgrId1129681e585cb4f1c.jpg"/><Relationship Id="rId3063681e585cc3b40" Type="http://schemas.openxmlformats.org/officeDocument/2006/relationships/image" Target="media/imgrId3063681e585cc3b40.jpg"/><Relationship Id="rId8708681e585cd6749" Type="http://schemas.openxmlformats.org/officeDocument/2006/relationships/image" Target="media/imgrId8708681e585cd6749.jpg"/><Relationship Id="rId3760681e585cd8d5d"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