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Brucella ovis: Infektiöse Nebenhodenentzündung der Schafböcke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15:20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Brucella
ovis:
Infektiöse
Nebenhodenentzündung
der
Schafböcke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Brucella
ovis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Infektionen
mit
dem
Bakterium
</w:t>
      </w:r>
      <w:r>
        <w:rPr>
          <w:rFonts w:ascii="Tahoma" w:hAnsi="Tahoma" w:eastAsia="Tahoma" w:cs="Tahoma"/>
          <w:i/>
          <w:iCs/>
          <w:color w:val="000000"/>
          <w:sz w:val="24"/>
          <w:szCs w:val="24"/>
        </w:rPr>
        <w:t xml:space="preserve">
Brucella
ovis</w:t>
      </w:r>
      <w:r>
        <w:rPr>
          <w:rFonts w:ascii="Tahoma" w:hAnsi="Tahoma" w:eastAsia="Tahoma" w:cs="Tahoma"/>
          <w:color w:val="000000"/>
          <w:sz w:val="24"/>
          <w:szCs w:val="24"/>
        </w:rPr>
        <w:t xml:space="preserve">
führen
bei
Schafböcken
zu
Hoden-
und
Nebenhodenentzündungen.
Menschen
können
nicht
an
diesem
Bakterium
erkranken.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Nahezu
weltweit
in
allen
schafreichen
Regionen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Hirsch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den
direkten
Kontakt
(Tröpfcheninfektion)
von
infiziertem
Widder
zu
Widder
bzw.
indirekt
beim
Deckakt
über
weibliche
Schafe.
Nach
einer
Besiedelung
der
Nieren
kann
die
Ausscheidung
auch
über
den
Harn
erfolgen.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3-17
Wochen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Böcken
kommt
es
zu
einseitigen,
seltener
beidseitigen
Nebenhodenveränderungen
(Epididymitis).
Bei
trächtigen
Mutterschafen
können
Aborte
und
eine
erhöhte
Lämmersterblichkeit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Infizierte
Böcke
sollten
schnellstmöglich
von
der
Zucht
bzw.
der
Herde
ausgeschlossen
und
der
Bestand
sowie
Kontakttiere
klinisch
und
serologisch
untersucht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wird
im
Allgemeinen
über
infizierte
Schafe
oder
Samen
in
eine
Herde
eingebracht.
Aus
diesem
Grund
stellen
die
klinische
Untersuchung
(Abtasten
des
Hodensacks)
und
das
serologische
Screening
(Nachweis
von
Antikörpern)
von
potenziellen
Zuchtböcken
bzw.
Widdern
mit
unbekannten
Gesundheitsstatus
vor
dem
Einbringen
in
die
Herde
die
wichtigste
Präventionsmaßnahme
gegen
die
Verbreitung
des
Erregers
dar.
Infektionen
bei
Mutterschafen
können
durch
die
Bekämpfung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in
Widdern
hintangehalten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Einzelne
Fälle
treten
nur
sporadisch
auf.
Es
gibt
entsprechende
Überwachungs-
und
Bekämpfungsprogramme.
Positive
Widder
müssen
durch
Schlachtung
oder
Kastration
von
der
Zucht
ausgeschlossen
und
der
betroffene
Bestand
nachuntersucht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Reservoir
für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stellen
chronisch
infizierte
Widder
dar.
Der
Erreger
kann
in
Hoden,
Nebenhoden
akzessorischen
Geschlechtsdrüsen
oder
Nieren
persistieren
und
über
Jahre
intermittierend
ausgeschieden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Nach
der
Paarung
mit
einem
infizierten
Widder
kann
der
Erreger
im
Vaginalsekret
des
weiblichen
Schafes
überleben
und
beim
nächsten
Deckakt
auf
einen
nicht-infizierten
Bock
übertragen
werden.
Weibliche
Tiere
stoßen
den
Erreger
meist
nach
einigen
Monaten
wieder
ab
und
tragen
somit
nur
temporär
zur
weiteren
Verbreitung
in
der
Herde
bei.
Aborte
oder
die
Geburt
von
lebensschwachen
Lämmern
auf
Grund
einer
Placentitis
des
infizierten
Mutterschafes
treten
eher
selten
auf.
Jungwidder
können
sich,
obwohl
sie
noch
nicht
im
Deckeinsatz
waren,
durch
die
soziale
Interaktion
in
der
Widderherde
(Schnüffeln
von
Harn
oder
Sperma
bzw.
Rangordnungskämpfe
mit
rektaler
Kopulation)
bei
infizierten
Widdern
anstecken.</w:t>
      </w:r>
      <w:r>
        <w:rPr>
          <w:rFonts w:ascii="Tahoma" w:hAnsi="Tahoma" w:eastAsia="Tahoma" w:cs="Tahoma"/>
          <w:color w:val="000000"/>
          <w:sz w:val="24"/>
          <w:szCs w:val="24"/>
        </w:rPr>
        <w:br/>
        <w:br/>
        <w:t xml:space="preserve">Widder
aus
Herden
mit
unbekanntem
Status
sollten
nicht
mit
anderen
Widder
gehalten
bzw.
zur
Zucht
eingesetzt
werden.
Mutterschafe,
die
kürzlich
von
infizierten
Widdern
gedeckt
wurden,
stellen
ein
potenzielles
Infektionsrisiko
für
gesunde
Widder
dar.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Der
Großteil
der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verläuft
asymptomatisch
bzw.
werden
Veränderungen
(Genitalläsionen)
erst
in
einem
späten
Infektionsstadium
klinisch
sichtbar.
Klinisch
auffällig
werden
Widder
durch
einseitige,
selten
beidseitige
tastbare
Veränderungen
der
Nebenhoden
(Epididymitis).
Ein
wirtschaftlicher
Verlust
durch
Veränderung
der
Zuchtparameter
in
der
Herde
wird
oft
nur
bei
intensiver
Schafhaltung
sichtbar.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Indirekte
Methoden:</w:t>
      </w:r>
    </w:p>
    <w:p>
      <w:pPr>
        <w:numPr>
          <w:ilvl w:val="0"/>
          <w:numId w:val="649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Serologischer
Nachweis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-Antikörpern
(ELISA,
Komplementbindungsreaktion)</w:t>
      </w:r>
    </w:p>
    <w:p>
      <w:pPr>
        <w:widowControl w:val="on"/>
        <w:pBdr/>
        <w:spacing w:before="240" w:after="240" w:line="240" w:lineRule="auto"/>
        <w:ind w:left="0" w:right="0"/>
        <w:jc w:val="left"/>
      </w:pPr>
      <w:r>
        <w:rPr>
          <w:rFonts w:ascii="Tahoma" w:hAnsi="Tahoma" w:eastAsia="Tahoma" w:cs="Tahoma"/>
          <w:color w:val="000000"/>
          <w:sz w:val="24"/>
          <w:szCs w:val="24"/>
        </w:rPr>
        <w:t xml:space="preserve">
Direkte
Methoden:</w:t>
      </w:r>
    </w:p>
    <w:p>
      <w:pPr>
        <w:numPr>
          <w:ilvl w:val="0"/>
          <w:numId w:val="649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Bakteriologisch:
Kulturversuch
aus
Organmaterial,
Samen-
oder
Tupferproben
auf
Selektivmedien</w:t>
      </w:r>
    </w:p>
    <w:p>
      <w:pPr>
        <w:numPr>
          <w:ilvl w:val="0"/>
          <w:numId w:val="649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Molekularbiologisch:
Genomnachweis
mittels
PCR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Brucella
ovis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569681e011f37fe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Weitere
Kontakte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Weitere
Kontakte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137681e011f38414"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Innsbruck</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vetmed.innsbruck@ages.at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1497681e011f38552" w:history="1">
        <w:r>
          <w:rPr>
            <w:rFonts w:ascii="Tahoma" w:hAnsi="Tahoma" w:eastAsia="Tahoma" w:cs="Tahoma"/>
            <w:color w:val="000000"/>
            <w:sz w:val="24"/>
            <w:szCs w:val="24"/>
            <w:u w:val="single"/>
          </w:rPr>
          <w:t xml:space="preserve">+43
50
555-71111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Technikerstraße
70</w:t>
      </w:r>
      <w:r>
        <w:rPr>
          <w:rFonts w:ascii="Tahoma" w:hAnsi="Tahoma" w:eastAsia="Tahoma" w:cs="Tahoma"/>
          <w:color w:val="000000"/>
          <w:sz w:val="24"/>
          <w:szCs w:val="24"/>
        </w:rPr>
        <w:br/>
        <w:t xml:space="preserve">6020
Innsbruck</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340681e011f3a1f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35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7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6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93">
    <w:multiLevelType w:val="hybridMultilevel"/>
    <w:lvl w:ilvl="0" w:tplc="45225616">
      <w:start w:val="1"/>
      <w:numFmt w:val="decimal"/>
      <w:lvlText w:val="%1."/>
      <w:lvlJc w:val="left"/>
      <w:pPr>
        <w:ind w:left="720" w:hanging="360"/>
      </w:pPr>
    </w:lvl>
    <w:lvl w:ilvl="1" w:tplc="45225616" w:tentative="1">
      <w:start w:val="1"/>
      <w:numFmt w:val="lowerLetter"/>
      <w:lvlText w:val="%2."/>
      <w:lvlJc w:val="left"/>
      <w:pPr>
        <w:ind w:left="1440" w:hanging="360"/>
      </w:pPr>
    </w:lvl>
    <w:lvl w:ilvl="2" w:tplc="45225616" w:tentative="1">
      <w:start w:val="1"/>
      <w:numFmt w:val="lowerRoman"/>
      <w:lvlText w:val="%3."/>
      <w:lvlJc w:val="right"/>
      <w:pPr>
        <w:ind w:left="2160" w:hanging="180"/>
      </w:pPr>
    </w:lvl>
    <w:lvl w:ilvl="3" w:tplc="45225616" w:tentative="1">
      <w:start w:val="1"/>
      <w:numFmt w:val="decimal"/>
      <w:lvlText w:val="%4."/>
      <w:lvlJc w:val="left"/>
      <w:pPr>
        <w:ind w:left="2880" w:hanging="360"/>
      </w:pPr>
    </w:lvl>
    <w:lvl w:ilvl="4" w:tplc="45225616" w:tentative="1">
      <w:start w:val="1"/>
      <w:numFmt w:val="lowerLetter"/>
      <w:lvlText w:val="%5."/>
      <w:lvlJc w:val="left"/>
      <w:pPr>
        <w:ind w:left="3600" w:hanging="360"/>
      </w:pPr>
    </w:lvl>
    <w:lvl w:ilvl="5" w:tplc="45225616" w:tentative="1">
      <w:start w:val="1"/>
      <w:numFmt w:val="lowerRoman"/>
      <w:lvlText w:val="%6."/>
      <w:lvlJc w:val="right"/>
      <w:pPr>
        <w:ind w:left="4320" w:hanging="180"/>
      </w:pPr>
    </w:lvl>
    <w:lvl w:ilvl="6" w:tplc="45225616" w:tentative="1">
      <w:start w:val="1"/>
      <w:numFmt w:val="decimal"/>
      <w:lvlText w:val="%7."/>
      <w:lvlJc w:val="left"/>
      <w:pPr>
        <w:ind w:left="5040" w:hanging="360"/>
      </w:pPr>
    </w:lvl>
    <w:lvl w:ilvl="7" w:tplc="45225616" w:tentative="1">
      <w:start w:val="1"/>
      <w:numFmt w:val="lowerLetter"/>
      <w:lvlText w:val="%8."/>
      <w:lvlJc w:val="left"/>
      <w:pPr>
        <w:ind w:left="5760" w:hanging="360"/>
      </w:pPr>
    </w:lvl>
    <w:lvl w:ilvl="8" w:tplc="45225616" w:tentative="1">
      <w:start w:val="1"/>
      <w:numFmt w:val="lowerRoman"/>
      <w:lvlText w:val="%9."/>
      <w:lvlJc w:val="right"/>
      <w:pPr>
        <w:ind w:left="6480" w:hanging="180"/>
      </w:pPr>
    </w:lvl>
  </w:abstractNum>
  <w:abstractNum w:abstractNumId="6492">
    <w:multiLevelType w:val="hybridMultilevel"/>
    <w:lvl w:ilvl="0" w:tplc="96551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492">
    <w:abstractNumId w:val="6492"/>
  </w:num>
  <w:num w:numId="6493">
    <w:abstractNumId w:val="6493"/>
  </w:num>
  <w:num w:numId="8808">
    <w:abstractNumId w:val="8808"/>
  </w:num>
  <w:num w:numId="1519">
    <w:abstractNumId w:val="1519"/>
  </w:num>
  <w:num w:numId="7816">
    <w:abstractNumId w:val="7816"/>
  </w:num>
  <w:num w:numId="8229">
    <w:abstractNumId w:val="8229"/>
  </w:num>
  <w:num w:numId="3094">
    <w:abstractNumId w:val="3094"/>
  </w:num>
  <w:num w:numId="2231">
    <w:abstractNumId w:val="2231"/>
  </w:num>
  <w:num w:numId="9648">
    <w:abstractNumId w:val="9648"/>
  </w:num>
  <w:num w:numId="2199">
    <w:abstractNumId w:val="2199"/>
  </w:num>
  <w:num w:numId="7032">
    <w:abstractNumId w:val="7032"/>
  </w:num>
  <w:num w:numId="3538">
    <w:abstractNumId w:val="3538"/>
  </w:num>
  <w:num w:numId="2565">
    <w:abstractNumId w:val="2565"/>
  </w:num>
  <w:num w:numId="5061">
    <w:abstractNumId w:val="5061"/>
  </w:num>
  <w:num w:numId="2669">
    <w:abstractNumId w:val="2669"/>
  </w:num>
  <w:num w:numId="7067">
    <w:abstractNumId w:val="7067"/>
  </w:num>
  <w:num w:numId="2168">
    <w:abstractNumId w:val="2168"/>
  </w:num>
  <w:num w:numId="5730">
    <w:abstractNumId w:val="5730"/>
  </w:num>
  <w:num w:numId="4752">
    <w:abstractNumId w:val="4752"/>
  </w:num>
  <w:num w:numId="6033">
    <w:abstractNumId w:val="6033"/>
  </w:num>
  <w:num w:numId="1430">
    <w:abstractNumId w:val="1430"/>
  </w:num>
  <w:num w:numId="2772">
    <w:abstractNumId w:val="2772"/>
  </w:num>
  <w:num w:numId="8363">
    <w:abstractNumId w:val="8363"/>
  </w:num>
  <w:num w:numId="1865">
    <w:abstractNumId w:val="1865"/>
  </w:num>
  <w:num w:numId="3577">
    <w:abstractNumId w:val="3577"/>
  </w:num>
  <w:num w:numId="8353">
    <w:abstractNumId w:val="8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61326039" Type="http://schemas.openxmlformats.org/officeDocument/2006/relationships/footnotes" Target="footnotes.xml"/><Relationship Id="rId347366607" Type="http://schemas.openxmlformats.org/officeDocument/2006/relationships/endnotes" Target="endnotes.xml"/><Relationship Id="rId542533233" Type="http://schemas.openxmlformats.org/officeDocument/2006/relationships/comments" Target="comments.xml"/><Relationship Id="rId371723102" Type="http://schemas.microsoft.com/office/2011/relationships/commentsExtended" Target="commentsExtended.xml"/><Relationship Id="rId727907897" Type="http://schemas.microsoft.com/office/2011/relationships/people" Target="people.xml"/><Relationship Id="rId8569681e011f37fec" Type="http://schemas.openxmlformats.org/officeDocument/2006/relationships/hyperlink" Target="tel:+43%2050%20555-38112" TargetMode="External"/><Relationship Id="rId7137681e011f38414" Type="http://schemas.openxmlformats.org/officeDocument/2006/relationships/hyperlink" Target="tel:+43%2050%20555-45111" TargetMode="External"/><Relationship Id="rId1497681e011f38552" Type="http://schemas.openxmlformats.org/officeDocument/2006/relationships/hyperlink" Target="tel:+43%2050%20555-71111" TargetMode="External"/><Relationship Id="rId4340681e011f3a1f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