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Knotweed</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03.07.2025 12:48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Knotweed</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Reynoutria
spp.</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10.09.2024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Perennial
knotweed
originates
from
Asia
and
is
a
3-4
m
tall
perennial
species
that
spreads
mainly
on
open
banks.
There
it
causes
erosion
of
the
soil
and
does
not
allow
other
plants
due
to
its
dense
growth.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Three
species
are
distinguished
among
the
perennial
knotweeds:</w:t>
      </w:r>
    </w:p>
    <w:p>
      <w:pPr>
        <w:widowControl w:val="on"/>
        <w:pBdr/>
        <w:spacing w:before="240" w:after="240" w:line="240" w:lineRule="auto"/>
        <w:ind w:left="0" w:right="0"/>
        <w:jc w:val="left"/>
      </w:pPr>
      <w:r>
        <w:rPr>
          <w:rFonts w:ascii="Tahoma" w:hAnsi="Tahoma" w:eastAsia="Tahoma" w:cs="Tahoma"/>
          <w:b/>
          <w:bCs/>
          <w:color w:val="000000"/>
          <w:sz w:val="24"/>
          <w:szCs w:val="24"/>
        </w:rPr>
        <w:t xml:space="preserve">
Japanese
knotweed</w:t>
      </w:r>
      <w:r>
        <w:rPr>
          <w:rFonts w:ascii="Tahoma" w:hAnsi="Tahoma" w:eastAsia="Tahoma" w:cs="Tahoma"/>
          <w:i/>
          <w:iCs/>
          <w:color w:val="000000"/>
          <w:sz w:val="24"/>
          <w:szCs w:val="24"/>
        </w:rPr>
        <w:t xml:space="preserve">(Reynoutria
japonica</w:t>
      </w:r>
      <w:r>
        <w:rPr>
          <w:rFonts w:ascii="Tahoma" w:hAnsi="Tahoma" w:eastAsia="Tahoma" w:cs="Tahoma"/>
          <w:color w:val="000000"/>
          <w:sz w:val="24"/>
          <w:szCs w:val="24"/>
        </w:rPr>
        <w:t xml:space="preserve">
Houtt.)
is
a
dioecious
perennial
up
to
3
m
tall
with
stout,
glabrous,
hollow
stems
that
are
usually
tinged
dark
red.
The
thick
rhizomes
are
characteristic.
The
plant
forms
numerous
leaf
shoots
from
the
rhizomes.
The
leaves
are
alternate
and
have
a
family-typical
ochrea
(tute;
membranous
tube
enclosing
the
base
of
the
following
stem
limb).
Leaves
are
broadly
ovate
(max.
20
cm
long),
narrowly
acuminate
at
the
end,
and
truncate
at
right
angles
or
slightly
rounded
at
the
base.
The
inflorescences
are
many-flowered,
the
flowers
small
and
white.
The
fruitlets
are
triangular
and
winged.</w:t>
      </w:r>
    </w:p>
    <w:p>
      <w:pPr>
        <w:widowControl w:val="on"/>
        <w:pBdr/>
        <w:spacing w:before="240" w:after="240" w:line="240" w:lineRule="auto"/>
        <w:ind w:left="0" w:right="0"/>
        <w:jc w:val="left"/>
      </w:pPr>
      <w:r>
        <w:rPr>
          <w:rFonts w:ascii="Tahoma" w:hAnsi="Tahoma" w:eastAsia="Tahoma" w:cs="Tahoma"/>
          <w:b/>
          <w:bCs/>
          <w:color w:val="000000"/>
          <w:sz w:val="24"/>
          <w:szCs w:val="24"/>
        </w:rPr>
        <w:t xml:space="preserve">
Sakhalin
kn</w:t>
      </w:r>
      <w:r>
        <w:rPr>
          <w:rFonts w:ascii="Tahoma" w:hAnsi="Tahoma" w:eastAsia="Tahoma" w:cs="Tahoma"/>
          <w:color w:val="000000"/>
          <w:sz w:val="24"/>
          <w:szCs w:val="24"/>
        </w:rPr>
        <w:t xml:space="preserve">
otweed</w:t>
      </w:r>
      <w:r>
        <w:rPr>
          <w:rFonts w:ascii="Tahoma" w:hAnsi="Tahoma" w:eastAsia="Tahoma" w:cs="Tahoma"/>
          <w:i/>
          <w:iCs/>
          <w:color w:val="000000"/>
          <w:sz w:val="24"/>
          <w:szCs w:val="24"/>
        </w:rPr>
        <w:t xml:space="preserve">(Reynoutria
sachalinensis</w:t>
      </w:r>
      <w:r>
        <w:rPr>
          <w:rFonts w:ascii="Tahoma" w:hAnsi="Tahoma" w:eastAsia="Tahoma" w:cs="Tahoma"/>
          <w:color w:val="000000"/>
          <w:sz w:val="24"/>
          <w:szCs w:val="24"/>
        </w:rPr>
        <w:t xml:space="preserve">
[F.
Schmidt]
Nakai)
grows
up
to
4
m
tall.
Unlike
Japan
knotweed,
the
leaves
are
up
to
30
cm
tall
and
the
leaf
blade
is
heart-shaped
rounded
at
the
base.</w:t>
      </w:r>
    </w:p>
    <w:p>
      <w:pPr>
        <w:widowControl w:val="on"/>
        <w:pBdr/>
        <w:spacing w:before="240" w:after="240" w:line="240" w:lineRule="auto"/>
        <w:ind w:left="0" w:right="0"/>
        <w:jc w:val="left"/>
      </w:pPr>
      <w:r>
        <w:rPr>
          <w:rFonts w:ascii="Tahoma" w:hAnsi="Tahoma" w:eastAsia="Tahoma" w:cs="Tahoma"/>
          <w:color w:val="000000"/>
          <w:sz w:val="24"/>
          <w:szCs w:val="24"/>
        </w:rPr>
        <w:t xml:space="preserve">
The
</w:t>
      </w:r>
      <w:r>
        <w:rPr>
          <w:rFonts w:ascii="Tahoma" w:hAnsi="Tahoma" w:eastAsia="Tahoma" w:cs="Tahoma"/>
          <w:b/>
          <w:bCs/>
          <w:color w:val="000000"/>
          <w:sz w:val="24"/>
          <w:szCs w:val="24"/>
        </w:rPr>
        <w:t xml:space="preserve">
bastard
knotweed</w:t>
      </w:r>
      <w:r>
        <w:rPr>
          <w:rFonts w:ascii="Tahoma" w:hAnsi="Tahoma" w:eastAsia="Tahoma" w:cs="Tahoma"/>
          <w:i/>
          <w:iCs/>
          <w:color w:val="000000"/>
          <w:sz w:val="24"/>
          <w:szCs w:val="24"/>
        </w:rPr>
        <w:t xml:space="preserve">
(Reynoutria
x
bohemica</w:t>
      </w:r>
      <w:r>
        <w:rPr>
          <w:rFonts w:ascii="Tahoma" w:hAnsi="Tahoma" w:eastAsia="Tahoma" w:cs="Tahoma"/>
          <w:color w:val="000000"/>
          <w:sz w:val="24"/>
          <w:szCs w:val="24"/>
        </w:rPr>
        <w:t xml:space="preserve">
Chrtek
&amp;
Chrtková)
occupies
an
intermediate
position
in
many
characteristics.</w:t>
      </w:r>
    </w:p>
    <w:p>
      <w:r>
        <w:drawing>
          <wp:inline distT="0" distB="0" distL="0" distR="0">
            <wp:extent cx="5400000" cy="4046400"/>
            <wp:docPr id="97988497" name="name69176866600790797" descr="csm_R._japonica_Bild_2_web-01_238194b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_japonica_Bild_2_web-01_238194be9e.jpg"/>
                    <pic:cNvPicPr/>
                  </pic:nvPicPr>
                  <pic:blipFill>
                    <a:blip r:embed="rId5056686660079079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Japan-Knöterich
in
der
Blüte</w:t>
      </w:r>
      <w:fldSimple w:instr=" SEQ Figure \* ARABIC ">
        <w:r>
          <w:rPr>
            <w:noProof/>
          </w:rPr>
          <w:t/>
        </w:r>
      </w:fldSimple>
      <w:bookmarkStart w:id="220526" w:name=""/>
      <w:bookmarkEnd w:id="220526"/>
    </w:p>
    <w:p>
      <w:r>
        <w:drawing>
          <wp:inline distT="0" distB="0" distL="0" distR="0">
            <wp:extent cx="5400000" cy="4046400"/>
            <wp:docPr id="91191792" name="name626768666007a22c8" descr="csm_Staudenknoeterich_003_web-01_106ead4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003_web-01_106ead4d26.jpg"/>
                    <pic:cNvPicPr/>
                  </pic:nvPicPr>
                  <pic:blipFill>
                    <a:blip r:embed="rId700968666007a22c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Sachalin-Knöterich
in
der
Blüte</w:t>
      </w:r>
      <w:fldSimple w:instr=" SEQ Figure \* ARABIC ">
        <w:r>
          <w:rPr>
            <w:noProof/>
          </w:rPr>
          <w:t/>
        </w:r>
      </w:fldSimple>
      <w:bookmarkStart w:id="8296027" w:name=""/>
      <w:bookmarkEnd w:id="8296027"/>
    </w:p>
    <w:p>
      <w:r>
        <w:drawing>
          <wp:inline distT="0" distB="0" distL="0" distR="0">
            <wp:extent cx="5400000" cy="4046400"/>
            <wp:docPr id="5420894" name="name281268666007af87f" descr="csm_Staudenknoeterich_004_web-01_8c514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004_web-01_8c51411625.jpg"/>
                    <pic:cNvPicPr/>
                  </pic:nvPicPr>
                  <pic:blipFill>
                    <a:blip r:embed="rId411868666007af87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Austrieb
im
Frühjahr</w:t>
      </w:r>
      <w:fldSimple w:instr=" SEQ Figure \* ARABIC ">
        <w:r>
          <w:rPr>
            <w:noProof/>
          </w:rPr>
          <w:t/>
        </w:r>
      </w:fldSimple>
      <w:bookmarkStart w:id="1973319" w:name=""/>
      <w:bookmarkEnd w:id="1973319"/>
    </w:p>
    <w:p>
      <w:r>
        <w:drawing>
          <wp:inline distT="0" distB="0" distL="0" distR="0">
            <wp:extent cx="5400000" cy="4046400"/>
            <wp:docPr id="44025723" name="name276468666007bd22b" descr="csm_Staudenknoeterich_Rhizom_web-01_9ff178e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Rhizom_web-01_9ff178eaf1.jpg"/>
                    <pic:cNvPicPr/>
                  </pic:nvPicPr>
                  <pic:blipFill>
                    <a:blip r:embed="rId132668666007bd22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Rhizom
des
Staudenknöterichs</w:t>
      </w:r>
      <w:fldSimple w:instr=" SEQ Figure \* ARABIC ">
        <w:r>
          <w:rPr>
            <w:noProof/>
          </w:rPr>
          <w:t/>
        </w:r>
      </w:fldSimple>
      <w:bookmarkStart w:id="460192" w:name=""/>
      <w:bookmarkEnd w:id="46019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Japan
perennial
knotweed
and
Sakhalin
knotweed
originate
from
areas
in
East
Asia
(widespread
in
China,
Japan
and
Korea,
Russia
-Far
East).
Since
about
1950,
there
has
been
a
rapid
spread
in
Europe.
Large
stands
develop
mainly
on
wood-free
shorelines
or
under
the
canopy
of
woody
plants
that
accompany
the
shore.
Perennial
knotweed
invades
herbaceous
vegetation.
It
is
also
common
on
urban-industrial
wastelands
(railroads),
roadsides,
embankments.
It
grows
less
strongly
in
forests,
but
can
also
occur
permanently
here
if
there
is
sufficient
light.
Perennial
knotweed
is
increasingly
invading
arable
land.
Perennial
knotweed
spreads
mainly
vegetatively,
with
rhizome
fragments
being
carried
away
by
flowing
water
or
by
humans.</w:t>
      </w:r>
    </w:p>
    <w:p>
      <w:r>
        <w:drawing>
          <wp:inline distT="0" distB="0" distL="0" distR="0">
            <wp:extent cx="5400000" cy="4046400"/>
            <wp:docPr id="64136894" name="name863268666007cc223" descr="csm_Staudenknoeterich_Fluss_web-01_1688d19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Fluss_web-01_1688d196b7.jpg"/>
                    <pic:cNvPicPr/>
                  </pic:nvPicPr>
                  <pic:blipFill>
                    <a:blip r:embed="rId188968666007cc21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Staudenknöterich
entlang
eines
Flusses</w:t>
      </w:r>
      <w:fldSimple w:instr=" SEQ Figure \* ARABIC ">
        <w:r>
          <w:rPr>
            <w:noProof/>
          </w:rPr>
          <w:t/>
        </w:r>
      </w:fldSimple>
      <w:bookmarkStart w:id="2347810" w:name=""/>
      <w:bookmarkEnd w:id="2347810"/>
    </w:p>
    <w:p>
      <w:r>
        <w:drawing>
          <wp:inline distT="0" distB="0" distL="0" distR="0">
            <wp:extent cx="5400000" cy="4046400"/>
            <wp:docPr id="59977550" name="name218668666007dbb73" descr="csm_Staudenknoeterich_002_web-01_9464237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002_web-01_946423790d.jpg"/>
                    <pic:cNvPicPr/>
                  </pic:nvPicPr>
                  <pic:blipFill>
                    <a:blip r:embed="rId599368666007dbb6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Staudenknöterich
in
einer
Ackerfläche</w:t>
      </w:r>
      <w:fldSimple w:instr=" SEQ Figure \* ARABIC ">
        <w:r>
          <w:rPr>
            <w:noProof/>
          </w:rPr>
          <w:t/>
        </w:r>
      </w:fldSimple>
      <w:bookmarkStart w:id="6115804" w:name=""/>
      <w:bookmarkEnd w:id="6115804"/>
    </w:p>
    <w:p>
      <w:r>
        <w:drawing>
          <wp:inline distT="0" distB="0" distL="0" distR="0">
            <wp:extent cx="5400000" cy="4046400"/>
            <wp:docPr id="68575688" name="name198368666007ebbfc" descr="csm_Staudenknoeterich_Baumpflanzung_web-01_07f02ef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taudenknoeterich_Baumpflanzung_web-01_07f02ef89a.jpg"/>
                    <pic:cNvPicPr/>
                  </pic:nvPicPr>
                  <pic:blipFill>
                    <a:blip r:embed="rId257068666007ebbf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Staudenknöterich
in
einer
Baumpflanzung</w:t>
      </w:r>
      <w:fldSimple w:instr=" SEQ Figure \* ARABIC ">
        <w:r>
          <w:rPr>
            <w:noProof/>
          </w:rPr>
          <w:t/>
        </w:r>
      </w:fldSimple>
      <w:bookmarkStart w:id="3204683" w:name=""/>
      <w:bookmarkEnd w:id="3204683"/>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The
economic
consequences
of
knotweed
include
direct
damage
to
buildings
and
bank
stabilization
and
control
costs
on
banks,
on
railway
tracks
and
in
building
land,
and
in
agriculture.</w:t>
      </w:r>
    </w:p>
    <w:p>
      <w:pPr>
        <w:widowControl w:val="on"/>
        <w:pBdr/>
        <w:spacing w:before="240" w:after="240" w:line="240" w:lineRule="auto"/>
        <w:ind w:left="0" w:right="0"/>
        <w:jc w:val="left"/>
      </w:pPr>
      <w:r>
        <w:rPr>
          <w:rFonts w:ascii="Tahoma" w:hAnsi="Tahoma" w:eastAsia="Tahoma" w:cs="Tahoma"/>
          <w:color w:val="000000"/>
          <w:sz w:val="24"/>
          <w:szCs w:val="24"/>
        </w:rPr>
        <w:t xml:space="preserve">
Stands
on
the
banks
of
smaller
streams
are
especially
significant
for
conservation.
Stands
of
knotweed
are
very
closed
and
allow
very
limited
growth
of
other
plants.
This
results
in
alteration
of
the
landscape
and
selective
displacement
of
native
species
(including
butterbur,
stinging
nettle,
and
fence
bindweed).
There
is
an
increase
in
erosion
hazards
along
riparian
areas.
The
herbaceous
knotweed
dies
in
winter
and
the
low
fine
root
formation
means
that
the
soil
is
not
adequately
protected
in
the
event
of
flooding.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widowControl w:val="on"/>
        <w:pBdr/>
        <w:spacing w:before="240" w:after="240" w:line="240" w:lineRule="auto"/>
        <w:ind w:left="0" w:right="0"/>
        <w:jc w:val="left"/>
      </w:pPr>
      <w:r>
        <w:rPr>
          <w:rFonts w:ascii="Tahoma" w:hAnsi="Tahoma" w:eastAsia="Tahoma" w:cs="Tahoma"/>
          <w:color w:val="000000"/>
          <w:sz w:val="24"/>
          <w:szCs w:val="24"/>
        </w:rPr>
        <w:t xml:space="preserve">
Sustainable
control
of
knotweed
is
very
difficult,
costly
and
lengthy.
There
is
also
currently
no
consensus
on
the
"best
way"
to
control
knotweed
(see
links).</w:t>
      </w:r>
    </w:p>
    <w:p>
      <w:pPr>
        <w:numPr>
          <w:ilvl w:val="0"/>
          <w:numId w:val="119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Mowing:
Frequent
mowing
(cutting)
can
reduce
the
growth
and
weaken
the
population.
However,
mowing
is
definitely
viewed
critically.
If
mowing
is
done
improperly,
the
damage
is
greater
than
the
benefit
-
spread
is
encouraged.
Mowing
can
be
done
in
various
ways
and
with
various
tools
(mowers,
trimmers).
However,
the
stems
must
be
cut
cleanly
(individually)
and
disposed
of
properly.
Then
mowing/cutting
is
a
relatively
safe
and
simple
control
option.
The
cuttings
should
be
hauled
away
and
sent
to
a
professional
composting
facility
(above
70°C),
otherwise
drying
on
sealed
ground
for
several
months
is
recommended.
Several
(&gt;
4)
cuts
per
year
at
a
height
of
40
cm
over
several
years
(at
least
4)
are
recommended.
Regular
mowing
is
useful,
for
example,
to
ensure
accessibility
or
visibility
along
a
transportation
infrastructure.</w:t>
      </w:r>
    </w:p>
    <w:p>
      <w:pPr>
        <w:numPr>
          <w:ilvl w:val="0"/>
          <w:numId w:val="119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Herbicides:
the
use
of
glyphosate
is
recommended,
preferably
at
two
dates
per
year
(glyphosate
in
summer
and
autumn)
or
an
annual
application
of
glyphosate
in
autumn
by
stem
injection
at
a
dosage
of
65
kg/ha
or
foliar
spraying
at
a
dosage
of
3.6
kg/ha.
However,
these
measures
are
complicated
by
the
fact
that
in
many
habitats
(e.g.
along
rivers)
the
use
of
glyphosate
is
not
possible
(no
approval).</w:t>
      </w:r>
    </w:p>
    <w:p>
      <w:pPr>
        <w:numPr>
          <w:ilvl w:val="0"/>
          <w:numId w:val="119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Competitive
vegetation:
It
is
generally
advisable
to
cover
the
ground
with
dense,
shade-providing
vegetation.
Both
grasses
and
woody
plants
act
as
competitors
for
perennial
knotweed.
In
addition,
this
is
a
promising
measure
in
combination
with
other
methods
(e.g.,
mowing/cutting).</w:t>
      </w:r>
    </w:p>
    <w:p>
      <w:pPr>
        <w:numPr>
          <w:ilvl w:val="0"/>
          <w:numId w:val="119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Other
various
measures
include
covering
with
geotextiles
or
geomembranes
or
wire
netting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r>
        <w:rPr>
          <w:rFonts w:ascii="Tahoma" w:hAnsi="Tahoma" w:eastAsia="Tahoma" w:cs="Tahoma"/>
          <w:color w:val="000000"/>
          <w:sz w:val="24"/>
          <w:szCs w:val="24"/>
        </w:rPr>
        <w:t xml:space="preserve">
Jones,
D.,
Bruce,
G.,
Fowler,
MS.,
Law-Cooper,
R.,
Graham,
I.,
Abel,
A.,
Street-Perrott,
FA.,
Eastwood,
D.,
2018.
</w:t>
      </w:r>
      <w:hyperlink r:id="rId437468666007ebe26" w:history="1">
        <w:r>
          <w:rPr>
            <w:rFonts w:ascii="Tahoma" w:hAnsi="Tahoma" w:eastAsia="Tahoma" w:cs="Tahoma"/>
            <w:color w:val="000000"/>
            <w:sz w:val="24"/>
            <w:szCs w:val="24"/>
            <w:u w:val="single"/>
          </w:rPr>
          <w:t xml:space="preserve">
Optimising
physiochemical
control
of
invasive
Japanese
knotweed</w:t>
        </w:r>
      </w:hyperlink>
      <w:r>
        <w:rPr>
          <w:rFonts w:ascii="Tahoma" w:hAnsi="Tahoma" w:eastAsia="Tahoma" w:cs="Tahoma"/>
          <w:color w:val="000000"/>
          <w:sz w:val="24"/>
          <w:szCs w:val="24"/>
        </w:rPr>
        <w:t xml:space="preserve">.
Biological
Invasions
20,
2091-2105.</w:t>
      </w:r>
    </w:p>
    <w:p>
      <w:pPr>
        <w:widowControl w:val="on"/>
        <w:pBdr/>
        <w:spacing w:before="240" w:after="240" w:line="240" w:lineRule="auto"/>
        <w:ind w:left="0" w:right="0"/>
        <w:jc w:val="left"/>
      </w:pPr>
      <w:r>
        <w:rPr>
          <w:rFonts w:ascii="Tahoma" w:hAnsi="Tahoma" w:eastAsia="Tahoma" w:cs="Tahoma"/>
          <w:color w:val="000000"/>
          <w:sz w:val="24"/>
          <w:szCs w:val="24"/>
        </w:rPr>
        <w:t xml:space="preserve">
Martin,
F-M.,
Dommanget,
F.,
Lavallée,
F.,
Evette,
A.,
2020.
</w:t>
      </w:r>
      <w:hyperlink r:id="rId540368666007ebe4a" w:history="1">
        <w:r>
          <w:rPr>
            <w:rFonts w:ascii="Tahoma" w:hAnsi="Tahoma" w:eastAsia="Tahoma" w:cs="Tahoma"/>
            <w:color w:val="000000"/>
            <w:sz w:val="24"/>
            <w:szCs w:val="24"/>
            <w:u w:val="single"/>
          </w:rPr>
          <w:t xml:space="preserve">
Clonal
growth
strategies
of
Reynoutria
japonica
in
response
to
light,
shade,
and
mowing,
and
perspectives
for
management</w:t>
        </w:r>
      </w:hyperlink>
      <w:r>
        <w:rPr>
          <w:rFonts w:ascii="Tahoma" w:hAnsi="Tahoma" w:eastAsia="Tahoma" w:cs="Tahoma"/>
          <w:color w:val="000000"/>
          <w:sz w:val="24"/>
          <w:szCs w:val="24"/>
        </w:rPr>
        <w:t xml:space="preserve">.
NeoBiota
56,
89-110.</w:t>
      </w:r>
    </w:p>
    <w:p>
      <w:pPr>
        <w:widowControl w:val="on"/>
        <w:pBdr/>
        <w:spacing w:before="240" w:after="240" w:line="240" w:lineRule="auto"/>
        <w:ind w:left="0" w:right="0"/>
        <w:jc w:val="left"/>
      </w:pPr>
      <w:r>
        <w:rPr>
          <w:rFonts w:ascii="Tahoma" w:hAnsi="Tahoma" w:eastAsia="Tahoma" w:cs="Tahoma"/>
          <w:color w:val="000000"/>
          <w:sz w:val="24"/>
          <w:szCs w:val="24"/>
        </w:rPr>
        <w:t xml:space="preserve">
Jones,
D.,
Fowler,
MS.,
Hocking,
S.,
Eastwood,
D.,
2020a.
</w:t>
      </w:r>
      <w:hyperlink r:id="rId649368666007ebe67" w:history="1">
        <w:r>
          <w:rPr>
            <w:rFonts w:ascii="Tahoma" w:hAnsi="Tahoma" w:eastAsia="Tahoma" w:cs="Tahoma"/>
            <w:color w:val="000000"/>
            <w:sz w:val="24"/>
            <w:szCs w:val="24"/>
            <w:u w:val="single"/>
          </w:rPr>
          <w:t xml:space="preserve">
Please
don’t
mow
the
Japanese
knotweed!</w:t>
        </w:r>
      </w:hyperlink>
      <w:r>
        <w:rPr>
          <w:rFonts w:ascii="Tahoma" w:hAnsi="Tahoma" w:eastAsia="Tahoma" w:cs="Tahoma"/>
          <w:color w:val="000000"/>
          <w:sz w:val="24"/>
          <w:szCs w:val="24"/>
        </w:rPr>
        <w:t xml:space="preserve">
NeoBiota
60,
19-23.</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229768666007ebe91"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980768666007ed838"/>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463">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15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4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31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7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67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80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15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6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85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77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32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03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0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10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05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24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7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91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15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96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53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59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9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200">
    <w:multiLevelType w:val="hybridMultilevel"/>
    <w:lvl w:ilvl="0" w:tplc="47830809">
      <w:start w:val="1"/>
      <w:numFmt w:val="decimal"/>
      <w:lvlText w:val="%1."/>
      <w:lvlJc w:val="left"/>
      <w:pPr>
        <w:ind w:left="720" w:hanging="360"/>
      </w:pPr>
    </w:lvl>
    <w:lvl w:ilvl="1" w:tplc="47830809" w:tentative="1">
      <w:start w:val="1"/>
      <w:numFmt w:val="lowerLetter"/>
      <w:lvlText w:val="%2."/>
      <w:lvlJc w:val="left"/>
      <w:pPr>
        <w:ind w:left="1440" w:hanging="360"/>
      </w:pPr>
    </w:lvl>
    <w:lvl w:ilvl="2" w:tplc="47830809" w:tentative="1">
      <w:start w:val="1"/>
      <w:numFmt w:val="lowerRoman"/>
      <w:lvlText w:val="%3."/>
      <w:lvlJc w:val="right"/>
      <w:pPr>
        <w:ind w:left="2160" w:hanging="180"/>
      </w:pPr>
    </w:lvl>
    <w:lvl w:ilvl="3" w:tplc="47830809" w:tentative="1">
      <w:start w:val="1"/>
      <w:numFmt w:val="decimal"/>
      <w:lvlText w:val="%4."/>
      <w:lvlJc w:val="left"/>
      <w:pPr>
        <w:ind w:left="2880" w:hanging="360"/>
      </w:pPr>
    </w:lvl>
    <w:lvl w:ilvl="4" w:tplc="47830809" w:tentative="1">
      <w:start w:val="1"/>
      <w:numFmt w:val="lowerLetter"/>
      <w:lvlText w:val="%5."/>
      <w:lvlJc w:val="left"/>
      <w:pPr>
        <w:ind w:left="3600" w:hanging="360"/>
      </w:pPr>
    </w:lvl>
    <w:lvl w:ilvl="5" w:tplc="47830809" w:tentative="1">
      <w:start w:val="1"/>
      <w:numFmt w:val="lowerRoman"/>
      <w:lvlText w:val="%6."/>
      <w:lvlJc w:val="right"/>
      <w:pPr>
        <w:ind w:left="4320" w:hanging="180"/>
      </w:pPr>
    </w:lvl>
    <w:lvl w:ilvl="6" w:tplc="47830809" w:tentative="1">
      <w:start w:val="1"/>
      <w:numFmt w:val="decimal"/>
      <w:lvlText w:val="%7."/>
      <w:lvlJc w:val="left"/>
      <w:pPr>
        <w:ind w:left="5040" w:hanging="360"/>
      </w:pPr>
    </w:lvl>
    <w:lvl w:ilvl="7" w:tplc="47830809" w:tentative="1">
      <w:start w:val="1"/>
      <w:numFmt w:val="lowerLetter"/>
      <w:lvlText w:val="%8."/>
      <w:lvlJc w:val="left"/>
      <w:pPr>
        <w:ind w:left="5760" w:hanging="360"/>
      </w:pPr>
    </w:lvl>
    <w:lvl w:ilvl="8" w:tplc="47830809" w:tentative="1">
      <w:start w:val="1"/>
      <w:numFmt w:val="lowerRoman"/>
      <w:lvlText w:val="%9."/>
      <w:lvlJc w:val="right"/>
      <w:pPr>
        <w:ind w:left="6480" w:hanging="180"/>
      </w:pPr>
    </w:lvl>
  </w:abstractNum>
  <w:abstractNum w:abstractNumId="1199">
    <w:multiLevelType w:val="hybridMultilevel"/>
    <w:lvl w:ilvl="0" w:tplc="516986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1199">
    <w:abstractNumId w:val="1199"/>
  </w:num>
  <w:num w:numId="1200">
    <w:abstractNumId w:val="1200"/>
  </w:num>
  <w:num w:numId="8962">
    <w:abstractNumId w:val="8962"/>
  </w:num>
  <w:num w:numId="2596">
    <w:abstractNumId w:val="2596"/>
  </w:num>
  <w:num w:numId="3532">
    <w:abstractNumId w:val="3532"/>
  </w:num>
  <w:num w:numId="5965">
    <w:abstractNumId w:val="5965"/>
  </w:num>
  <w:num w:numId="2157">
    <w:abstractNumId w:val="2157"/>
  </w:num>
  <w:num w:numId="4919">
    <w:abstractNumId w:val="4919"/>
  </w:num>
  <w:num w:numId="6712">
    <w:abstractNumId w:val="6712"/>
  </w:num>
  <w:num w:numId="3243">
    <w:abstractNumId w:val="3243"/>
  </w:num>
  <w:num w:numId="9056">
    <w:abstractNumId w:val="9056"/>
  </w:num>
  <w:num w:numId="2100">
    <w:abstractNumId w:val="2100"/>
  </w:num>
  <w:num w:numId="8088">
    <w:abstractNumId w:val="8088"/>
  </w:num>
  <w:num w:numId="3037">
    <w:abstractNumId w:val="3037"/>
  </w:num>
  <w:num w:numId="1328">
    <w:abstractNumId w:val="1328"/>
  </w:num>
  <w:num w:numId="9775">
    <w:abstractNumId w:val="9775"/>
  </w:num>
  <w:num w:numId="1856">
    <w:abstractNumId w:val="1856"/>
  </w:num>
  <w:num w:numId="5688">
    <w:abstractNumId w:val="5688"/>
  </w:num>
  <w:num w:numId="7155">
    <w:abstractNumId w:val="7155"/>
  </w:num>
  <w:num w:numId="9802">
    <w:abstractNumId w:val="9802"/>
  </w:num>
  <w:num w:numId="8670">
    <w:abstractNumId w:val="8670"/>
  </w:num>
  <w:num w:numId="1570">
    <w:abstractNumId w:val="1570"/>
  </w:num>
  <w:num w:numId="4315">
    <w:abstractNumId w:val="4315"/>
  </w:num>
  <w:num w:numId="9402">
    <w:abstractNumId w:val="9402"/>
  </w:num>
  <w:num w:numId="4156">
    <w:abstractNumId w:val="4156"/>
  </w:num>
  <w:num w:numId="2463">
    <w:abstractNumId w:val="246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543921170" Type="http://schemas.openxmlformats.org/officeDocument/2006/relationships/footnotes" Target="footnotes.xml"/><Relationship Id="rId738978329" Type="http://schemas.openxmlformats.org/officeDocument/2006/relationships/endnotes" Target="endnotes.xml"/><Relationship Id="rId987689956" Type="http://schemas.openxmlformats.org/officeDocument/2006/relationships/comments" Target="comments.xml"/><Relationship Id="rId825516471" Type="http://schemas.microsoft.com/office/2011/relationships/commentsExtended" Target="commentsExtended.xml"/><Relationship Id="rId358609964" Type="http://schemas.microsoft.com/office/2011/relationships/people" Target="people.xml"/><Relationship Id="rId437468666007ebe26" Type="http://schemas.openxmlformats.org/officeDocument/2006/relationships/hyperlink" Target="https://link.springer.com/article/10.1007/s10530-018-1684-5" TargetMode="External"/><Relationship Id="rId540368666007ebe4a" Type="http://schemas.openxmlformats.org/officeDocument/2006/relationships/hyperlink" Target="https://neobiota.pensoft.net/article/47511/" TargetMode="External"/><Relationship Id="rId649368666007ebe67" Type="http://schemas.openxmlformats.org/officeDocument/2006/relationships/hyperlink" Target="https://neobiota.pensoft.net/article/56935/" TargetMode="External"/><Relationship Id="rId229768666007ebe91" Type="http://schemas.openxmlformats.org/officeDocument/2006/relationships/hyperlink" Target="en/plant/plant-health/plant-health-information" TargetMode="External"/><Relationship Id="rId50566866600790794" Type="http://schemas.openxmlformats.org/officeDocument/2006/relationships/image" Target="media/imgrId50566866600790794.jpg"/><Relationship Id="rId700968666007a22c2" Type="http://schemas.openxmlformats.org/officeDocument/2006/relationships/image" Target="media/imgrId700968666007a22c2.jpg"/><Relationship Id="rId411868666007af87b" Type="http://schemas.openxmlformats.org/officeDocument/2006/relationships/image" Target="media/imgrId411868666007af87b.jpg"/><Relationship Id="rId132668666007bd226" Type="http://schemas.openxmlformats.org/officeDocument/2006/relationships/image" Target="media/imgrId132668666007bd226.jpg"/><Relationship Id="rId188968666007cc21d" Type="http://schemas.openxmlformats.org/officeDocument/2006/relationships/image" Target="media/imgrId188968666007cc21d.jpg"/><Relationship Id="rId599368666007dbb6d" Type="http://schemas.openxmlformats.org/officeDocument/2006/relationships/image" Target="media/imgrId599368666007dbb6d.jpg"/><Relationship Id="rId257068666007ebbf7" Type="http://schemas.openxmlformats.org/officeDocument/2006/relationships/image" Target="media/imgrId257068666007ebbf7.jpg"/><Relationship Id="rId980768666007ed838"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